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22F" w:rsidRDefault="00B4122F" w:rsidP="00B4122F"/>
    <w:p w:rsidR="00B4122F" w:rsidRDefault="00B4122F" w:rsidP="00B4122F">
      <w:pPr>
        <w:ind w:left="-270"/>
      </w:pPr>
    </w:p>
    <w:tbl>
      <w:tblPr>
        <w:tblpPr w:leftFromText="180" w:rightFromText="180" w:horzAnchor="margin" w:tblpXSpec="center" w:tblpY="554"/>
        <w:tblW w:w="4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75"/>
      </w:tblGrid>
      <w:tr w:rsidR="00B4122F" w:rsidRPr="00962296" w:rsidTr="009373F5">
        <w:trPr>
          <w:trHeight w:val="782"/>
        </w:trPr>
        <w:tc>
          <w:tcPr>
            <w:tcW w:w="4675" w:type="dxa"/>
          </w:tcPr>
          <w:p w:rsidR="00B4122F" w:rsidRPr="00962296" w:rsidRDefault="00B4122F" w:rsidP="009373F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THE GAMBIA PRODUCER</w:t>
            </w:r>
            <w:r w:rsidRPr="00962296">
              <w:rPr>
                <w:b/>
                <w:sz w:val="28"/>
                <w:szCs w:val="28"/>
              </w:rPr>
              <w:t xml:space="preserve"> PRICE INDEX (</w:t>
            </w:r>
            <w:r>
              <w:rPr>
                <w:b/>
                <w:sz w:val="28"/>
                <w:szCs w:val="28"/>
              </w:rPr>
              <w:t>P</w:t>
            </w:r>
            <w:r w:rsidRPr="00962296">
              <w:rPr>
                <w:b/>
                <w:sz w:val="28"/>
                <w:szCs w:val="28"/>
              </w:rPr>
              <w:t>PI)</w:t>
            </w:r>
            <w:r w:rsidR="00BF76A2">
              <w:rPr>
                <w:b/>
                <w:sz w:val="28"/>
                <w:szCs w:val="28"/>
              </w:rPr>
              <w:t xml:space="preserve"> QUARTERLY REPORT, JUNE</w:t>
            </w:r>
            <w:r>
              <w:rPr>
                <w:b/>
                <w:sz w:val="28"/>
                <w:szCs w:val="28"/>
              </w:rPr>
              <w:t xml:space="preserve"> 201</w:t>
            </w:r>
            <w:r w:rsidR="00302AA1">
              <w:rPr>
                <w:b/>
                <w:sz w:val="28"/>
                <w:szCs w:val="28"/>
              </w:rPr>
              <w:t>6</w:t>
            </w:r>
          </w:p>
        </w:tc>
      </w:tr>
    </w:tbl>
    <w:p w:rsidR="00B4122F" w:rsidRDefault="00B4122F" w:rsidP="00B4122F">
      <w:pPr>
        <w:ind w:left="-180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en-US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-342900</wp:posOffset>
            </wp:positionV>
            <wp:extent cx="1371600" cy="1019175"/>
            <wp:effectExtent l="19050" t="0" r="0" b="0"/>
            <wp:wrapNone/>
            <wp:docPr id="4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B5D00">
        <w:rPr>
          <w:b/>
          <w:noProof/>
          <w:sz w:val="28"/>
          <w:szCs w:val="28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78pt;margin-top:-18pt;width:113.8pt;height:71.35pt;z-index:251660288;mso-wrap-style:none;mso-position-horizontal-relative:text;mso-position-vertical-relative:text" filled="f" stroked="f">
            <v:textbox style="mso-next-textbox:#_x0000_s1026;mso-fit-shape-to-text:t">
              <w:txbxContent>
                <w:p w:rsidR="0090370D" w:rsidRPr="00256754" w:rsidRDefault="0090370D" w:rsidP="00B4122F">
                  <w:r>
                    <w:rPr>
                      <w:noProof/>
                      <w:lang w:val="en-US"/>
                    </w:rPr>
                    <w:drawing>
                      <wp:inline distT="0" distB="0" distL="0" distR="0">
                        <wp:extent cx="1257300" cy="819150"/>
                        <wp:effectExtent l="1905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57300" cy="819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B4122F" w:rsidRDefault="00B4122F" w:rsidP="00B4122F">
      <w:pPr>
        <w:rPr>
          <w:b/>
          <w:sz w:val="28"/>
          <w:szCs w:val="28"/>
        </w:rPr>
      </w:pPr>
    </w:p>
    <w:p w:rsidR="00B4122F" w:rsidRPr="007A4ECA" w:rsidRDefault="007B5D00" w:rsidP="00B4122F">
      <w:pPr>
        <w:tabs>
          <w:tab w:val="left" w:pos="7200"/>
          <w:tab w:val="center" w:pos="9090"/>
        </w:tabs>
        <w:ind w:left="-540" w:right="90" w:hanging="450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en-US"/>
        </w:rPr>
        <w:pict>
          <v:shape id="_x0000_s1027" type="#_x0000_t202" style="position:absolute;left:0;text-align:left;margin-left:-36pt;margin-top:3.8pt;width:117pt;height:18pt;z-index:251661312" wrapcoords="-150 0 -150 20700 21600 20700 21600 0 -150 0" stroked="f">
            <v:textbox style="mso-next-textbox:#_x0000_s1027">
              <w:txbxContent>
                <w:p w:rsidR="0090370D" w:rsidRPr="00642379" w:rsidRDefault="0090370D" w:rsidP="00B4122F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 xml:space="preserve">  </w:t>
                  </w:r>
                  <w:r w:rsidRPr="00642379">
                    <w:rPr>
                      <w:sz w:val="14"/>
                      <w:szCs w:val="14"/>
                    </w:rPr>
                    <w:t xml:space="preserve">REPUBLIC OF THE </w:t>
                  </w:r>
                  <w:smartTag w:uri="urn:schemas-microsoft-com:office:smarttags" w:element="place">
                    <w:smartTag w:uri="urn:schemas-microsoft-com:office:smarttags" w:element="country-region">
                      <w:r w:rsidRPr="00642379">
                        <w:rPr>
                          <w:sz w:val="14"/>
                          <w:szCs w:val="14"/>
                        </w:rPr>
                        <w:t>GAMBIA</w:t>
                      </w:r>
                    </w:smartTag>
                  </w:smartTag>
                </w:p>
              </w:txbxContent>
            </v:textbox>
            <w10:wrap type="tight"/>
          </v:shape>
        </w:pict>
      </w:r>
    </w:p>
    <w:tbl>
      <w:tblPr>
        <w:tblW w:w="10170" w:type="dxa"/>
        <w:tblInd w:w="-43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CCFFCC"/>
        <w:tblLook w:val="01E0"/>
      </w:tblPr>
      <w:tblGrid>
        <w:gridCol w:w="10170"/>
      </w:tblGrid>
      <w:tr w:rsidR="00B4122F" w:rsidRPr="00962296" w:rsidTr="001B4080">
        <w:trPr>
          <w:trHeight w:val="1095"/>
        </w:trPr>
        <w:tc>
          <w:tcPr>
            <w:tcW w:w="10170" w:type="dxa"/>
            <w:shd w:val="clear" w:color="auto" w:fill="CCFFCC"/>
          </w:tcPr>
          <w:p w:rsidR="00B4122F" w:rsidRDefault="00B4122F" w:rsidP="009373F5">
            <w:pPr>
              <w:jc w:val="both"/>
              <w:rPr>
                <w:rFonts w:ascii="Arial Narrow" w:hAnsi="Arial Narrow"/>
                <w:szCs w:val="22"/>
              </w:rPr>
            </w:pPr>
          </w:p>
          <w:p w:rsidR="00B4122F" w:rsidRDefault="00B4122F" w:rsidP="009373F5">
            <w:pPr>
              <w:jc w:val="both"/>
              <w:rPr>
                <w:rFonts w:ascii="Arial Narrow" w:hAnsi="Arial Narrow"/>
                <w:szCs w:val="22"/>
              </w:rPr>
            </w:pPr>
            <w:r w:rsidRPr="00962296">
              <w:rPr>
                <w:rFonts w:ascii="Arial Narrow" w:hAnsi="Arial Narrow"/>
                <w:szCs w:val="22"/>
              </w:rPr>
              <w:t xml:space="preserve">The Gambia Bureau of Statistics is very pleased to deliver to users the new </w:t>
            </w:r>
            <w:r>
              <w:rPr>
                <w:rFonts w:ascii="Arial Narrow" w:hAnsi="Arial Narrow"/>
                <w:szCs w:val="22"/>
              </w:rPr>
              <w:t>Producer</w:t>
            </w:r>
            <w:r w:rsidRPr="00962296">
              <w:rPr>
                <w:rFonts w:ascii="Arial Narrow" w:hAnsi="Arial Narrow"/>
                <w:szCs w:val="22"/>
              </w:rPr>
              <w:t xml:space="preserve"> Price Index (</w:t>
            </w:r>
            <w:r>
              <w:rPr>
                <w:rFonts w:ascii="Arial Narrow" w:hAnsi="Arial Narrow"/>
                <w:szCs w:val="22"/>
              </w:rPr>
              <w:t>P</w:t>
            </w:r>
            <w:r w:rsidRPr="00962296">
              <w:rPr>
                <w:rFonts w:ascii="Arial Narrow" w:hAnsi="Arial Narrow"/>
                <w:szCs w:val="22"/>
              </w:rPr>
              <w:t>PI)  200</w:t>
            </w:r>
            <w:r>
              <w:rPr>
                <w:rFonts w:ascii="Arial Narrow" w:hAnsi="Arial Narrow"/>
                <w:szCs w:val="22"/>
              </w:rPr>
              <w:t>9 = 100</w:t>
            </w:r>
            <w:r w:rsidRPr="00962296">
              <w:rPr>
                <w:rFonts w:ascii="Arial Narrow" w:hAnsi="Arial Narrow"/>
                <w:szCs w:val="22"/>
              </w:rPr>
              <w:t xml:space="preserve"> </w:t>
            </w:r>
          </w:p>
          <w:p w:rsidR="00B4122F" w:rsidRDefault="00B4122F" w:rsidP="009373F5">
            <w:pPr>
              <w:jc w:val="both"/>
              <w:rPr>
                <w:rFonts w:ascii="Arial Narrow" w:hAnsi="Arial Narrow"/>
                <w:szCs w:val="22"/>
              </w:rPr>
            </w:pPr>
          </w:p>
          <w:p w:rsidR="00B4122F" w:rsidRDefault="00B4122F" w:rsidP="009373F5">
            <w:pPr>
              <w:jc w:val="both"/>
              <w:rPr>
                <w:rFonts w:ascii="Arial Narrow" w:hAnsi="Arial Narrow"/>
                <w:b/>
                <w:szCs w:val="22"/>
              </w:rPr>
            </w:pPr>
            <w:r w:rsidRPr="00962296">
              <w:rPr>
                <w:rFonts w:ascii="Arial Narrow" w:hAnsi="Arial Narrow"/>
                <w:b/>
                <w:szCs w:val="22"/>
              </w:rPr>
              <w:t xml:space="preserve">The </w:t>
            </w:r>
            <w:r>
              <w:rPr>
                <w:rFonts w:ascii="Arial Narrow" w:hAnsi="Arial Narrow"/>
                <w:b/>
                <w:szCs w:val="22"/>
              </w:rPr>
              <w:t>P</w:t>
            </w:r>
            <w:r w:rsidRPr="00962296">
              <w:rPr>
                <w:rFonts w:ascii="Arial Narrow" w:hAnsi="Arial Narrow"/>
                <w:b/>
                <w:szCs w:val="22"/>
              </w:rPr>
              <w:t>PI is published every</w:t>
            </w:r>
            <w:r>
              <w:rPr>
                <w:rFonts w:ascii="Arial Narrow" w:hAnsi="Arial Narrow"/>
                <w:b/>
                <w:szCs w:val="22"/>
              </w:rPr>
              <w:t xml:space="preserve"> Quarter </w:t>
            </w:r>
            <w:r w:rsidRPr="00962296">
              <w:rPr>
                <w:rFonts w:ascii="Arial Narrow" w:hAnsi="Arial Narrow"/>
                <w:b/>
                <w:szCs w:val="22"/>
              </w:rPr>
              <w:t xml:space="preserve">by the </w:t>
            </w:r>
            <w:r>
              <w:rPr>
                <w:rFonts w:ascii="Arial Narrow" w:hAnsi="Arial Narrow"/>
                <w:b/>
                <w:szCs w:val="22"/>
              </w:rPr>
              <w:t xml:space="preserve">ending of the first month of the following quarter. </w:t>
            </w:r>
          </w:p>
          <w:p w:rsidR="00B4122F" w:rsidRPr="00962296" w:rsidRDefault="00B4122F" w:rsidP="009373F5">
            <w:pPr>
              <w:jc w:val="both"/>
              <w:rPr>
                <w:rFonts w:ascii="Arial Narrow" w:hAnsi="Arial Narrow"/>
                <w:szCs w:val="22"/>
              </w:rPr>
            </w:pPr>
          </w:p>
        </w:tc>
      </w:tr>
    </w:tbl>
    <w:p w:rsidR="00023D64" w:rsidRDefault="00023D64"/>
    <w:tbl>
      <w:tblPr>
        <w:tblStyle w:val="TableGrid"/>
        <w:tblW w:w="11700" w:type="dxa"/>
        <w:tblInd w:w="-1062" w:type="dxa"/>
        <w:tblLayout w:type="fixed"/>
        <w:tblLook w:val="04A0"/>
      </w:tblPr>
      <w:tblGrid>
        <w:gridCol w:w="3510"/>
        <w:gridCol w:w="90"/>
        <w:gridCol w:w="810"/>
        <w:gridCol w:w="90"/>
        <w:gridCol w:w="630"/>
        <w:gridCol w:w="90"/>
        <w:gridCol w:w="630"/>
        <w:gridCol w:w="90"/>
        <w:gridCol w:w="630"/>
        <w:gridCol w:w="90"/>
        <w:gridCol w:w="630"/>
        <w:gridCol w:w="90"/>
        <w:gridCol w:w="630"/>
        <w:gridCol w:w="90"/>
        <w:gridCol w:w="1080"/>
        <w:gridCol w:w="1350"/>
        <w:gridCol w:w="1170"/>
      </w:tblGrid>
      <w:tr w:rsidR="001B4080" w:rsidRPr="00B713BF" w:rsidTr="00DD570F">
        <w:tc>
          <w:tcPr>
            <w:tcW w:w="3600" w:type="dxa"/>
            <w:gridSpan w:val="2"/>
            <w:vAlign w:val="bottom"/>
          </w:tcPr>
          <w:p w:rsidR="009C4106" w:rsidRPr="00B713BF" w:rsidRDefault="007C713E" w:rsidP="00D9137B">
            <w:pPr>
              <w:rPr>
                <w:rFonts w:cs="Arial"/>
                <w:b/>
                <w:bCs/>
                <w:sz w:val="18"/>
                <w:szCs w:val="18"/>
                <w:lang w:val="en-US"/>
              </w:rPr>
            </w:pPr>
            <w:r w:rsidRPr="00B713BF">
              <w:rPr>
                <w:rFonts w:cs="Arial"/>
                <w:b/>
                <w:bCs/>
                <w:sz w:val="18"/>
                <w:szCs w:val="18"/>
                <w:lang w:val="en-US"/>
              </w:rPr>
              <w:t>Index</w:t>
            </w:r>
          </w:p>
        </w:tc>
        <w:tc>
          <w:tcPr>
            <w:tcW w:w="900" w:type="dxa"/>
            <w:gridSpan w:val="2"/>
          </w:tcPr>
          <w:p w:rsidR="009C4106" w:rsidRPr="00B713BF" w:rsidRDefault="007C713E" w:rsidP="00D9137B">
            <w:pPr>
              <w:rPr>
                <w:rFonts w:cs="Arial"/>
                <w:sz w:val="18"/>
                <w:szCs w:val="18"/>
              </w:rPr>
            </w:pPr>
            <w:r w:rsidRPr="00B713BF">
              <w:rPr>
                <w:rFonts w:cs="Arial"/>
                <w:sz w:val="18"/>
                <w:szCs w:val="18"/>
              </w:rPr>
              <w:t>Weights</w:t>
            </w:r>
          </w:p>
        </w:tc>
        <w:tc>
          <w:tcPr>
            <w:tcW w:w="720" w:type="dxa"/>
            <w:gridSpan w:val="2"/>
          </w:tcPr>
          <w:p w:rsidR="009C4106" w:rsidRPr="00B713BF" w:rsidRDefault="00BF76A2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Jun </w:t>
            </w:r>
            <w:r w:rsidR="007C713E" w:rsidRPr="00B713BF">
              <w:rPr>
                <w:rFonts w:cs="Arial"/>
                <w:sz w:val="18"/>
                <w:szCs w:val="18"/>
              </w:rPr>
              <w:t>201</w:t>
            </w:r>
            <w:r w:rsidR="00DA7A8D">
              <w:rPr>
                <w:rFonts w:cs="Arial"/>
                <w:sz w:val="18"/>
                <w:szCs w:val="18"/>
              </w:rPr>
              <w:t>5</w:t>
            </w:r>
          </w:p>
        </w:tc>
        <w:tc>
          <w:tcPr>
            <w:tcW w:w="720" w:type="dxa"/>
            <w:gridSpan w:val="2"/>
          </w:tcPr>
          <w:p w:rsidR="009C4106" w:rsidRPr="00B713BF" w:rsidRDefault="00BF76A2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Mar </w:t>
            </w:r>
            <w:r w:rsidR="007C713E" w:rsidRPr="00B713BF">
              <w:rPr>
                <w:rFonts w:cs="Arial"/>
                <w:sz w:val="18"/>
                <w:szCs w:val="18"/>
              </w:rPr>
              <w:t>201</w:t>
            </w:r>
            <w:r w:rsidR="00D97416">
              <w:rPr>
                <w:rFonts w:cs="Arial"/>
                <w:sz w:val="18"/>
                <w:szCs w:val="18"/>
              </w:rPr>
              <w:t>5</w:t>
            </w:r>
          </w:p>
        </w:tc>
        <w:tc>
          <w:tcPr>
            <w:tcW w:w="720" w:type="dxa"/>
            <w:gridSpan w:val="2"/>
          </w:tcPr>
          <w:p w:rsidR="009C4106" w:rsidRPr="00B713BF" w:rsidRDefault="00BF76A2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Apr</w:t>
            </w:r>
            <w:r w:rsidR="00FC7AB8">
              <w:rPr>
                <w:rFonts w:cs="Arial"/>
                <w:sz w:val="18"/>
                <w:szCs w:val="18"/>
              </w:rPr>
              <w:t xml:space="preserve">  </w:t>
            </w:r>
            <w:r w:rsidR="009B0439" w:rsidRPr="00B713BF">
              <w:rPr>
                <w:rFonts w:cs="Arial"/>
                <w:sz w:val="18"/>
                <w:szCs w:val="18"/>
              </w:rPr>
              <w:t>201</w:t>
            </w:r>
            <w:r w:rsidR="00DA7A8D">
              <w:rPr>
                <w:rFonts w:cs="Arial"/>
                <w:sz w:val="18"/>
                <w:szCs w:val="18"/>
              </w:rPr>
              <w:t>6</w:t>
            </w:r>
          </w:p>
        </w:tc>
        <w:tc>
          <w:tcPr>
            <w:tcW w:w="720" w:type="dxa"/>
            <w:gridSpan w:val="2"/>
          </w:tcPr>
          <w:p w:rsidR="009C4106" w:rsidRPr="00B713BF" w:rsidRDefault="00BF76A2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May</w:t>
            </w:r>
            <w:r w:rsidR="00FC7AB8">
              <w:rPr>
                <w:rFonts w:cs="Arial"/>
                <w:sz w:val="18"/>
                <w:szCs w:val="18"/>
              </w:rPr>
              <w:t xml:space="preserve"> </w:t>
            </w:r>
            <w:r w:rsidR="009B0439" w:rsidRPr="00B713BF">
              <w:rPr>
                <w:rFonts w:cs="Arial"/>
                <w:sz w:val="18"/>
                <w:szCs w:val="18"/>
              </w:rPr>
              <w:t>201</w:t>
            </w:r>
            <w:r w:rsidR="00DA7A8D">
              <w:rPr>
                <w:rFonts w:cs="Arial"/>
                <w:sz w:val="18"/>
                <w:szCs w:val="18"/>
              </w:rPr>
              <w:t>6</w:t>
            </w:r>
          </w:p>
        </w:tc>
        <w:tc>
          <w:tcPr>
            <w:tcW w:w="720" w:type="dxa"/>
            <w:gridSpan w:val="2"/>
          </w:tcPr>
          <w:p w:rsidR="009C4106" w:rsidRPr="00B713BF" w:rsidRDefault="00BF76A2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Jun</w:t>
            </w:r>
            <w:r w:rsidR="00D97416">
              <w:rPr>
                <w:rFonts w:cs="Arial"/>
                <w:sz w:val="18"/>
                <w:szCs w:val="18"/>
              </w:rPr>
              <w:t xml:space="preserve"> </w:t>
            </w:r>
            <w:r w:rsidR="009B0439" w:rsidRPr="00B713BF">
              <w:rPr>
                <w:rFonts w:cs="Arial"/>
                <w:sz w:val="18"/>
                <w:szCs w:val="18"/>
              </w:rPr>
              <w:t>201</w:t>
            </w:r>
            <w:r w:rsidR="00DA7A8D">
              <w:rPr>
                <w:rFonts w:cs="Arial"/>
                <w:sz w:val="18"/>
                <w:szCs w:val="18"/>
              </w:rPr>
              <w:t>6</w:t>
            </w:r>
          </w:p>
        </w:tc>
        <w:tc>
          <w:tcPr>
            <w:tcW w:w="1080" w:type="dxa"/>
          </w:tcPr>
          <w:p w:rsidR="009C4106" w:rsidRPr="00B713BF" w:rsidRDefault="009B0439" w:rsidP="00D9137B">
            <w:pPr>
              <w:rPr>
                <w:rFonts w:cs="Arial"/>
                <w:sz w:val="18"/>
                <w:szCs w:val="18"/>
              </w:rPr>
            </w:pPr>
            <w:r w:rsidRPr="00B713BF">
              <w:rPr>
                <w:rFonts w:cs="Arial"/>
                <w:sz w:val="18"/>
                <w:szCs w:val="18"/>
              </w:rPr>
              <w:t>One</w:t>
            </w:r>
            <w:r w:rsidR="00E6619F">
              <w:rPr>
                <w:rFonts w:cs="Arial"/>
                <w:sz w:val="18"/>
                <w:szCs w:val="18"/>
              </w:rPr>
              <w:t xml:space="preserve">    </w:t>
            </w:r>
            <w:r w:rsidRPr="00B713BF">
              <w:rPr>
                <w:rFonts w:cs="Arial"/>
                <w:sz w:val="18"/>
                <w:szCs w:val="18"/>
              </w:rPr>
              <w:t xml:space="preserve"> Month difference</w:t>
            </w:r>
          </w:p>
        </w:tc>
        <w:tc>
          <w:tcPr>
            <w:tcW w:w="1350" w:type="dxa"/>
          </w:tcPr>
          <w:p w:rsidR="009C4106" w:rsidRPr="00B713BF" w:rsidRDefault="009B0439" w:rsidP="00D9137B">
            <w:pPr>
              <w:rPr>
                <w:rFonts w:cs="Arial"/>
                <w:sz w:val="18"/>
                <w:szCs w:val="18"/>
              </w:rPr>
            </w:pPr>
            <w:r w:rsidRPr="00B713BF">
              <w:rPr>
                <w:rFonts w:cs="Arial"/>
                <w:sz w:val="18"/>
                <w:szCs w:val="18"/>
              </w:rPr>
              <w:t>Point to point difference</w:t>
            </w:r>
          </w:p>
        </w:tc>
        <w:tc>
          <w:tcPr>
            <w:tcW w:w="1170" w:type="dxa"/>
          </w:tcPr>
          <w:p w:rsidR="009C4106" w:rsidRPr="00B713BF" w:rsidRDefault="009B0439" w:rsidP="00D9137B">
            <w:pPr>
              <w:rPr>
                <w:rFonts w:cs="Arial"/>
                <w:sz w:val="18"/>
                <w:szCs w:val="18"/>
              </w:rPr>
            </w:pPr>
            <w:r w:rsidRPr="00B713BF">
              <w:rPr>
                <w:rFonts w:cs="Arial"/>
                <w:sz w:val="18"/>
                <w:szCs w:val="18"/>
              </w:rPr>
              <w:t xml:space="preserve">Three </w:t>
            </w:r>
            <w:r w:rsidR="00E6619F">
              <w:rPr>
                <w:rFonts w:cs="Arial"/>
                <w:sz w:val="18"/>
                <w:szCs w:val="18"/>
              </w:rPr>
              <w:t xml:space="preserve"> </w:t>
            </w:r>
            <w:r w:rsidRPr="00B713BF">
              <w:rPr>
                <w:rFonts w:cs="Arial"/>
                <w:sz w:val="18"/>
                <w:szCs w:val="18"/>
              </w:rPr>
              <w:t>Month</w:t>
            </w:r>
            <w:r w:rsidR="00B713BF">
              <w:rPr>
                <w:rFonts w:cs="Arial"/>
                <w:sz w:val="18"/>
                <w:szCs w:val="18"/>
              </w:rPr>
              <w:t>s</w:t>
            </w:r>
            <w:r w:rsidRPr="00B713BF">
              <w:rPr>
                <w:rFonts w:cs="Arial"/>
                <w:sz w:val="18"/>
                <w:szCs w:val="18"/>
              </w:rPr>
              <w:t xml:space="preserve"> difference</w:t>
            </w:r>
          </w:p>
        </w:tc>
      </w:tr>
      <w:tr w:rsidR="00DD570F" w:rsidRPr="00B713BF" w:rsidTr="00DD570F">
        <w:tc>
          <w:tcPr>
            <w:tcW w:w="3600" w:type="dxa"/>
            <w:gridSpan w:val="2"/>
            <w:vAlign w:val="bottom"/>
          </w:tcPr>
          <w:p w:rsidR="00DD570F" w:rsidRPr="00B713BF" w:rsidRDefault="00DD570F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 items Index</w:t>
            </w:r>
          </w:p>
        </w:tc>
        <w:tc>
          <w:tcPr>
            <w:tcW w:w="90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10000.00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179.98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185.44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185.47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185.81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186.58</w:t>
            </w:r>
          </w:p>
        </w:tc>
        <w:tc>
          <w:tcPr>
            <w:tcW w:w="1080" w:type="dxa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0.41</w:t>
            </w:r>
          </w:p>
        </w:tc>
        <w:tc>
          <w:tcPr>
            <w:tcW w:w="1350" w:type="dxa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3.67</w:t>
            </w:r>
          </w:p>
        </w:tc>
        <w:tc>
          <w:tcPr>
            <w:tcW w:w="1170" w:type="dxa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0.62</w:t>
            </w:r>
          </w:p>
        </w:tc>
      </w:tr>
      <w:tr w:rsidR="00DD570F" w:rsidRPr="00B713BF" w:rsidTr="00DD570F">
        <w:tc>
          <w:tcPr>
            <w:tcW w:w="3600" w:type="dxa"/>
            <w:gridSpan w:val="2"/>
            <w:vAlign w:val="bottom"/>
          </w:tcPr>
          <w:p w:rsidR="00DD570F" w:rsidRPr="00B713BF" w:rsidRDefault="00DD570F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Processing and preserving of meat</w:t>
            </w:r>
          </w:p>
        </w:tc>
        <w:tc>
          <w:tcPr>
            <w:tcW w:w="90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92.07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291.41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301.41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301.41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301.41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301.41</w:t>
            </w:r>
          </w:p>
        </w:tc>
        <w:tc>
          <w:tcPr>
            <w:tcW w:w="1080" w:type="dxa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3.43</w:t>
            </w:r>
          </w:p>
        </w:tc>
        <w:tc>
          <w:tcPr>
            <w:tcW w:w="1170" w:type="dxa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DD570F" w:rsidRPr="00B713BF" w:rsidTr="00DD570F">
        <w:tc>
          <w:tcPr>
            <w:tcW w:w="3600" w:type="dxa"/>
            <w:gridSpan w:val="2"/>
            <w:vAlign w:val="bottom"/>
          </w:tcPr>
          <w:p w:rsidR="00DD570F" w:rsidRPr="00B713BF" w:rsidRDefault="00DD570F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Processing and preserving of fish</w:t>
            </w:r>
          </w:p>
        </w:tc>
        <w:tc>
          <w:tcPr>
            <w:tcW w:w="90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18.99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258.80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277.11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277.11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288.28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290.60</w:t>
            </w:r>
          </w:p>
        </w:tc>
        <w:tc>
          <w:tcPr>
            <w:tcW w:w="1080" w:type="dxa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0.77</w:t>
            </w:r>
          </w:p>
        </w:tc>
        <w:tc>
          <w:tcPr>
            <w:tcW w:w="1350" w:type="dxa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12.29</w:t>
            </w:r>
          </w:p>
        </w:tc>
        <w:tc>
          <w:tcPr>
            <w:tcW w:w="1170" w:type="dxa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4.87</w:t>
            </w:r>
          </w:p>
        </w:tc>
      </w:tr>
      <w:tr w:rsidR="00DD570F" w:rsidRPr="00B713BF" w:rsidTr="00DD570F">
        <w:tc>
          <w:tcPr>
            <w:tcW w:w="3600" w:type="dxa"/>
            <w:gridSpan w:val="2"/>
            <w:vAlign w:val="bottom"/>
          </w:tcPr>
          <w:p w:rsidR="00DD570F" w:rsidRPr="00B713BF" w:rsidRDefault="00DD570F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Processing and preserving of fruits and vegetables</w:t>
            </w:r>
          </w:p>
        </w:tc>
        <w:tc>
          <w:tcPr>
            <w:tcW w:w="90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1403.66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220.17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232.94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232.94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232.94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238.06</w:t>
            </w:r>
          </w:p>
        </w:tc>
        <w:tc>
          <w:tcPr>
            <w:tcW w:w="1080" w:type="dxa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1.77</w:t>
            </w:r>
          </w:p>
        </w:tc>
        <w:tc>
          <w:tcPr>
            <w:tcW w:w="1350" w:type="dxa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8.12</w:t>
            </w:r>
          </w:p>
        </w:tc>
        <w:tc>
          <w:tcPr>
            <w:tcW w:w="1170" w:type="dxa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2.19</w:t>
            </w:r>
          </w:p>
        </w:tc>
      </w:tr>
      <w:tr w:rsidR="00DD570F" w:rsidRPr="00B713BF" w:rsidTr="00DD570F">
        <w:tc>
          <w:tcPr>
            <w:tcW w:w="3600" w:type="dxa"/>
            <w:gridSpan w:val="2"/>
            <w:vAlign w:val="bottom"/>
          </w:tcPr>
          <w:p w:rsidR="00DD570F" w:rsidRPr="00B713BF" w:rsidRDefault="00DD570F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Processing and preserving of vegetable and animal oil and fats</w:t>
            </w:r>
          </w:p>
        </w:tc>
        <w:tc>
          <w:tcPr>
            <w:tcW w:w="90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3596.62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172.53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180.23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180.23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180.23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180.23</w:t>
            </w:r>
          </w:p>
        </w:tc>
        <w:tc>
          <w:tcPr>
            <w:tcW w:w="1080" w:type="dxa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4.46</w:t>
            </w:r>
          </w:p>
        </w:tc>
        <w:tc>
          <w:tcPr>
            <w:tcW w:w="1170" w:type="dxa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DD570F" w:rsidRPr="00B713BF" w:rsidTr="00DD570F">
        <w:tc>
          <w:tcPr>
            <w:tcW w:w="3600" w:type="dxa"/>
            <w:gridSpan w:val="2"/>
            <w:vAlign w:val="bottom"/>
          </w:tcPr>
          <w:p w:rsidR="00DD570F" w:rsidRPr="00B713BF" w:rsidRDefault="00DD570F" w:rsidP="006F43A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dairy products</w:t>
            </w:r>
          </w:p>
        </w:tc>
        <w:tc>
          <w:tcPr>
            <w:tcW w:w="90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61.78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150.59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155.88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155.88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180.59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180.59</w:t>
            </w:r>
          </w:p>
        </w:tc>
        <w:tc>
          <w:tcPr>
            <w:tcW w:w="1080" w:type="dxa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19.92</w:t>
            </w:r>
          </w:p>
        </w:tc>
        <w:tc>
          <w:tcPr>
            <w:tcW w:w="1170" w:type="dxa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15.85</w:t>
            </w:r>
          </w:p>
        </w:tc>
      </w:tr>
      <w:tr w:rsidR="00DD570F" w:rsidRPr="00B713BF" w:rsidTr="00DD570F">
        <w:tc>
          <w:tcPr>
            <w:tcW w:w="3600" w:type="dxa"/>
            <w:gridSpan w:val="2"/>
            <w:vAlign w:val="bottom"/>
          </w:tcPr>
          <w:p w:rsidR="00DD570F" w:rsidRPr="00B713BF" w:rsidRDefault="00DD570F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grain mill products</w:t>
            </w:r>
          </w:p>
        </w:tc>
        <w:tc>
          <w:tcPr>
            <w:tcW w:w="90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0.68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132.27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152.02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152.02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152.02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152.02</w:t>
            </w:r>
          </w:p>
        </w:tc>
        <w:tc>
          <w:tcPr>
            <w:tcW w:w="1080" w:type="dxa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14.93</w:t>
            </w:r>
          </w:p>
        </w:tc>
        <w:tc>
          <w:tcPr>
            <w:tcW w:w="1170" w:type="dxa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DD570F" w:rsidRPr="00B713BF" w:rsidTr="00DD570F">
        <w:tc>
          <w:tcPr>
            <w:tcW w:w="3600" w:type="dxa"/>
            <w:gridSpan w:val="2"/>
            <w:vAlign w:val="bottom"/>
          </w:tcPr>
          <w:p w:rsidR="00DD570F" w:rsidRPr="00B713BF" w:rsidRDefault="00DD570F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bakery products</w:t>
            </w:r>
          </w:p>
        </w:tc>
        <w:tc>
          <w:tcPr>
            <w:tcW w:w="90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247.82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176.03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176.03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176.03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176.03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176.03</w:t>
            </w:r>
          </w:p>
        </w:tc>
        <w:tc>
          <w:tcPr>
            <w:tcW w:w="1080" w:type="dxa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DD570F" w:rsidRPr="00B713BF" w:rsidTr="00DD570F">
        <w:tc>
          <w:tcPr>
            <w:tcW w:w="3600" w:type="dxa"/>
            <w:gridSpan w:val="2"/>
            <w:vAlign w:val="bottom"/>
          </w:tcPr>
          <w:p w:rsidR="00DD570F" w:rsidRPr="00B713BF" w:rsidRDefault="00DD570F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of other food products n, e. c.</w:t>
            </w:r>
          </w:p>
        </w:tc>
        <w:tc>
          <w:tcPr>
            <w:tcW w:w="90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12.09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140.38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141.70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141.70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151.19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151.19</w:t>
            </w:r>
          </w:p>
        </w:tc>
        <w:tc>
          <w:tcPr>
            <w:tcW w:w="1080" w:type="dxa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7.70</w:t>
            </w:r>
          </w:p>
        </w:tc>
        <w:tc>
          <w:tcPr>
            <w:tcW w:w="1170" w:type="dxa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6.70</w:t>
            </w:r>
          </w:p>
        </w:tc>
      </w:tr>
      <w:tr w:rsidR="00DD570F" w:rsidRPr="00B713BF" w:rsidTr="00DD570F">
        <w:tc>
          <w:tcPr>
            <w:tcW w:w="3600" w:type="dxa"/>
            <w:gridSpan w:val="2"/>
            <w:vAlign w:val="bottom"/>
          </w:tcPr>
          <w:p w:rsidR="00DD570F" w:rsidRPr="00B713BF" w:rsidRDefault="00DD570F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malt liquors and malt</w:t>
            </w:r>
          </w:p>
        </w:tc>
        <w:tc>
          <w:tcPr>
            <w:tcW w:w="90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1537.63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196.01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196.01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196.01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196.01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196.01</w:t>
            </w:r>
          </w:p>
        </w:tc>
        <w:tc>
          <w:tcPr>
            <w:tcW w:w="1080" w:type="dxa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DD570F" w:rsidRPr="00B713BF" w:rsidTr="00DD570F">
        <w:tc>
          <w:tcPr>
            <w:tcW w:w="3600" w:type="dxa"/>
            <w:gridSpan w:val="2"/>
            <w:vAlign w:val="bottom"/>
          </w:tcPr>
          <w:p w:rsidR="00DD570F" w:rsidRPr="00B713BF" w:rsidRDefault="00DD570F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soft drinks ,  mineral waters and other bottled</w:t>
            </w:r>
          </w:p>
        </w:tc>
        <w:tc>
          <w:tcPr>
            <w:tcW w:w="90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2037.00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168.87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169.14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169.14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169.14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169.14</w:t>
            </w:r>
          </w:p>
        </w:tc>
        <w:tc>
          <w:tcPr>
            <w:tcW w:w="1080" w:type="dxa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0.16</w:t>
            </w:r>
          </w:p>
        </w:tc>
        <w:tc>
          <w:tcPr>
            <w:tcW w:w="1170" w:type="dxa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DD570F" w:rsidRPr="00B713BF" w:rsidTr="00DD570F">
        <w:tc>
          <w:tcPr>
            <w:tcW w:w="3600" w:type="dxa"/>
            <w:gridSpan w:val="2"/>
            <w:vAlign w:val="bottom"/>
          </w:tcPr>
          <w:p w:rsidR="00DD570F" w:rsidRPr="00B713BF" w:rsidRDefault="00DD570F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Distilling rectifying and blending of spirits</w:t>
            </w:r>
          </w:p>
        </w:tc>
        <w:tc>
          <w:tcPr>
            <w:tcW w:w="90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17.22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175.10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175.10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175.10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175.10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175.10</w:t>
            </w:r>
          </w:p>
        </w:tc>
        <w:tc>
          <w:tcPr>
            <w:tcW w:w="1080" w:type="dxa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DD570F" w:rsidRPr="00B713BF" w:rsidTr="00DD570F">
        <w:tc>
          <w:tcPr>
            <w:tcW w:w="3600" w:type="dxa"/>
            <w:gridSpan w:val="2"/>
            <w:vAlign w:val="bottom"/>
          </w:tcPr>
          <w:p w:rsidR="00DD570F" w:rsidRPr="00B713BF" w:rsidRDefault="00DD570F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foot wears</w:t>
            </w:r>
          </w:p>
        </w:tc>
        <w:tc>
          <w:tcPr>
            <w:tcW w:w="90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4.08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100.00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100.00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100.00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113.70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113.70</w:t>
            </w:r>
          </w:p>
        </w:tc>
        <w:tc>
          <w:tcPr>
            <w:tcW w:w="1080" w:type="dxa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13.70</w:t>
            </w:r>
          </w:p>
        </w:tc>
        <w:tc>
          <w:tcPr>
            <w:tcW w:w="1170" w:type="dxa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13.70</w:t>
            </w:r>
          </w:p>
        </w:tc>
      </w:tr>
      <w:tr w:rsidR="00DD570F" w:rsidRPr="00B713BF" w:rsidTr="00DD570F">
        <w:tc>
          <w:tcPr>
            <w:tcW w:w="3600" w:type="dxa"/>
            <w:gridSpan w:val="2"/>
            <w:vAlign w:val="bottom"/>
          </w:tcPr>
          <w:p w:rsidR="00DD570F" w:rsidRPr="00B713BF" w:rsidRDefault="00DD570F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builders carpentry and joinery</w:t>
            </w:r>
          </w:p>
        </w:tc>
        <w:tc>
          <w:tcPr>
            <w:tcW w:w="90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154.65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100.21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100.21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100.21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100.21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100.21</w:t>
            </w:r>
          </w:p>
        </w:tc>
        <w:tc>
          <w:tcPr>
            <w:tcW w:w="1080" w:type="dxa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DD570F" w:rsidRPr="00B713BF" w:rsidTr="00DD570F">
        <w:tc>
          <w:tcPr>
            <w:tcW w:w="3600" w:type="dxa"/>
            <w:gridSpan w:val="2"/>
            <w:vAlign w:val="bottom"/>
          </w:tcPr>
          <w:p w:rsidR="00DD570F" w:rsidRPr="00B713BF" w:rsidRDefault="00DD570F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Printing and service activities related to printing</w:t>
            </w:r>
          </w:p>
        </w:tc>
        <w:tc>
          <w:tcPr>
            <w:tcW w:w="90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201.47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114.36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114.36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114.36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114.36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114.36</w:t>
            </w:r>
          </w:p>
        </w:tc>
        <w:tc>
          <w:tcPr>
            <w:tcW w:w="1080" w:type="dxa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DD570F" w:rsidRPr="00B713BF" w:rsidTr="00DD570F">
        <w:tc>
          <w:tcPr>
            <w:tcW w:w="3600" w:type="dxa"/>
            <w:gridSpan w:val="2"/>
            <w:vAlign w:val="bottom"/>
          </w:tcPr>
          <w:p w:rsidR="00DD570F" w:rsidRPr="00B713BF" w:rsidRDefault="00DD570F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basic chemical</w:t>
            </w:r>
          </w:p>
        </w:tc>
        <w:tc>
          <w:tcPr>
            <w:tcW w:w="90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112.07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184.56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185.10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185.10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185.10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185.10</w:t>
            </w:r>
          </w:p>
        </w:tc>
        <w:tc>
          <w:tcPr>
            <w:tcW w:w="1080" w:type="dxa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0.29</w:t>
            </w:r>
          </w:p>
        </w:tc>
        <w:tc>
          <w:tcPr>
            <w:tcW w:w="1170" w:type="dxa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DD570F" w:rsidRPr="00B713BF" w:rsidTr="00DD570F">
        <w:tc>
          <w:tcPr>
            <w:tcW w:w="3600" w:type="dxa"/>
            <w:gridSpan w:val="2"/>
            <w:vAlign w:val="bottom"/>
          </w:tcPr>
          <w:p w:rsidR="00DD570F" w:rsidRPr="00B713BF" w:rsidRDefault="00DD570F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paints varnishes; coating, ink  and mastics</w:t>
            </w:r>
          </w:p>
        </w:tc>
        <w:tc>
          <w:tcPr>
            <w:tcW w:w="90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28.87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107.92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107.92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107.92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107.92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107.92</w:t>
            </w:r>
          </w:p>
        </w:tc>
        <w:tc>
          <w:tcPr>
            <w:tcW w:w="1080" w:type="dxa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DD570F" w:rsidRPr="00B713BF" w:rsidTr="00DD570F">
        <w:tc>
          <w:tcPr>
            <w:tcW w:w="3600" w:type="dxa"/>
            <w:gridSpan w:val="2"/>
            <w:vAlign w:val="bottom"/>
          </w:tcPr>
          <w:p w:rsidR="00DD570F" w:rsidRPr="00B713BF" w:rsidRDefault="00DD570F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of soap; detergents; cleaning; polishing preparations</w:t>
            </w:r>
          </w:p>
        </w:tc>
        <w:tc>
          <w:tcPr>
            <w:tcW w:w="90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49.71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152.10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154.69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154.69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165.37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169.20</w:t>
            </w:r>
          </w:p>
        </w:tc>
        <w:tc>
          <w:tcPr>
            <w:tcW w:w="1080" w:type="dxa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3.54</w:t>
            </w:r>
          </w:p>
        </w:tc>
        <w:tc>
          <w:tcPr>
            <w:tcW w:w="1350" w:type="dxa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11.24</w:t>
            </w:r>
          </w:p>
        </w:tc>
        <w:tc>
          <w:tcPr>
            <w:tcW w:w="1170" w:type="dxa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9.38</w:t>
            </w:r>
          </w:p>
        </w:tc>
      </w:tr>
      <w:tr w:rsidR="00DD570F" w:rsidRPr="00B713BF" w:rsidTr="00DD570F">
        <w:tc>
          <w:tcPr>
            <w:tcW w:w="3600" w:type="dxa"/>
            <w:gridSpan w:val="2"/>
            <w:vAlign w:val="bottom"/>
          </w:tcPr>
          <w:p w:rsidR="00DD570F" w:rsidRPr="00B713BF" w:rsidRDefault="00DD570F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of other chemical products n. e. c.</w:t>
            </w:r>
          </w:p>
        </w:tc>
        <w:tc>
          <w:tcPr>
            <w:tcW w:w="90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3.76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144.37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144.37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144.37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144.37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144.37</w:t>
            </w:r>
          </w:p>
        </w:tc>
        <w:tc>
          <w:tcPr>
            <w:tcW w:w="1080" w:type="dxa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DD570F" w:rsidRPr="00B713BF" w:rsidTr="00DD570F">
        <w:tc>
          <w:tcPr>
            <w:tcW w:w="3600" w:type="dxa"/>
            <w:gridSpan w:val="2"/>
            <w:vAlign w:val="bottom"/>
          </w:tcPr>
          <w:p w:rsidR="00DD570F" w:rsidRPr="00B713BF" w:rsidRDefault="00DD570F" w:rsidP="006F43A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of articles of concrete; cement and plaster</w:t>
            </w:r>
          </w:p>
        </w:tc>
        <w:tc>
          <w:tcPr>
            <w:tcW w:w="90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25.07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123.36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123.36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123.36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123.36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123.36</w:t>
            </w:r>
          </w:p>
        </w:tc>
        <w:tc>
          <w:tcPr>
            <w:tcW w:w="1080" w:type="dxa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DD570F" w:rsidRPr="00B713BF" w:rsidTr="00DD570F">
        <w:tc>
          <w:tcPr>
            <w:tcW w:w="3600" w:type="dxa"/>
            <w:gridSpan w:val="2"/>
            <w:vAlign w:val="bottom"/>
          </w:tcPr>
          <w:p w:rsidR="00DD570F" w:rsidRPr="00B713BF" w:rsidRDefault="00DD570F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 of other fabricated metal products n. e. c.</w:t>
            </w:r>
          </w:p>
        </w:tc>
        <w:tc>
          <w:tcPr>
            <w:tcW w:w="90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1.75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115.52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115.52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115.52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174.24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174.71</w:t>
            </w:r>
          </w:p>
        </w:tc>
        <w:tc>
          <w:tcPr>
            <w:tcW w:w="1080" w:type="dxa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0.39</w:t>
            </w:r>
          </w:p>
        </w:tc>
        <w:tc>
          <w:tcPr>
            <w:tcW w:w="1350" w:type="dxa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51.25</w:t>
            </w:r>
          </w:p>
        </w:tc>
        <w:tc>
          <w:tcPr>
            <w:tcW w:w="1170" w:type="dxa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51.25</w:t>
            </w:r>
          </w:p>
        </w:tc>
      </w:tr>
      <w:tr w:rsidR="00DD570F" w:rsidRPr="00B713BF" w:rsidTr="00DD570F">
        <w:tc>
          <w:tcPr>
            <w:tcW w:w="3600" w:type="dxa"/>
            <w:gridSpan w:val="2"/>
            <w:vAlign w:val="bottom"/>
          </w:tcPr>
          <w:p w:rsidR="00DD570F" w:rsidRPr="00B713BF" w:rsidRDefault="00DD570F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furniture</w:t>
            </w:r>
          </w:p>
        </w:tc>
        <w:tc>
          <w:tcPr>
            <w:tcW w:w="90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393.00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155.71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172.59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173.41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175.74</w:t>
            </w:r>
          </w:p>
        </w:tc>
        <w:tc>
          <w:tcPr>
            <w:tcW w:w="720" w:type="dxa"/>
            <w:gridSpan w:val="2"/>
            <w:vAlign w:val="bottom"/>
          </w:tcPr>
          <w:p w:rsidR="00DD570F" w:rsidRDefault="00DD570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176.38</w:t>
            </w:r>
          </w:p>
        </w:tc>
        <w:tc>
          <w:tcPr>
            <w:tcW w:w="1080" w:type="dxa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0.37</w:t>
            </w:r>
          </w:p>
        </w:tc>
        <w:tc>
          <w:tcPr>
            <w:tcW w:w="1350" w:type="dxa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13.27</w:t>
            </w:r>
          </w:p>
        </w:tc>
        <w:tc>
          <w:tcPr>
            <w:tcW w:w="1170" w:type="dxa"/>
            <w:vAlign w:val="bottom"/>
          </w:tcPr>
          <w:p w:rsidR="00DD570F" w:rsidRDefault="00DD570F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2.19</w:t>
            </w:r>
          </w:p>
        </w:tc>
      </w:tr>
      <w:tr w:rsidR="00DD570F" w:rsidRPr="00B713BF" w:rsidTr="0090370D">
        <w:tc>
          <w:tcPr>
            <w:tcW w:w="11700" w:type="dxa"/>
            <w:gridSpan w:val="17"/>
            <w:vAlign w:val="bottom"/>
          </w:tcPr>
          <w:p w:rsidR="00DD570F" w:rsidRPr="00C75B45" w:rsidRDefault="00DD570F">
            <w:pPr>
              <w:jc w:val="right"/>
              <w:rPr>
                <w:rFonts w:cs="Arial"/>
                <w:sz w:val="16"/>
                <w:szCs w:val="16"/>
              </w:rPr>
            </w:pPr>
          </w:p>
        </w:tc>
      </w:tr>
      <w:tr w:rsidR="00AD5FD2" w:rsidRPr="00B713BF" w:rsidTr="00B42BE4">
        <w:tc>
          <w:tcPr>
            <w:tcW w:w="3510" w:type="dxa"/>
            <w:tcBorders>
              <w:right w:val="single" w:sz="4" w:space="0" w:color="auto"/>
            </w:tcBorders>
            <w:vAlign w:val="bottom"/>
          </w:tcPr>
          <w:p w:rsidR="00AD5FD2" w:rsidRPr="00B713BF" w:rsidRDefault="00AD5FD2" w:rsidP="00D9137B">
            <w:pPr>
              <w:rPr>
                <w:rFonts w:cs="Arial"/>
                <w:b/>
                <w:bCs/>
                <w:sz w:val="18"/>
                <w:szCs w:val="18"/>
                <w:lang w:val="en-US"/>
              </w:rPr>
            </w:pPr>
            <w:r>
              <w:rPr>
                <w:rFonts w:cs="Arial"/>
                <w:b/>
                <w:bCs/>
                <w:sz w:val="18"/>
                <w:szCs w:val="18"/>
                <w:lang w:val="en-US"/>
              </w:rPr>
              <w:t>12 Months moving averages</w:t>
            </w:r>
          </w:p>
        </w:tc>
        <w:tc>
          <w:tcPr>
            <w:tcW w:w="900" w:type="dxa"/>
            <w:gridSpan w:val="2"/>
            <w:tcBorders>
              <w:left w:val="single" w:sz="4" w:space="0" w:color="auto"/>
            </w:tcBorders>
            <w:vAlign w:val="bottom"/>
          </w:tcPr>
          <w:p w:rsidR="00AD5FD2" w:rsidRDefault="00AD5FD2">
            <w:pPr>
              <w:rPr>
                <w:rFonts w:ascii="Cambria" w:hAnsi="Cambria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  <w:vAlign w:val="bottom"/>
          </w:tcPr>
          <w:p w:rsidR="00AD5FD2" w:rsidRDefault="00AD5FD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176.38</w:t>
            </w:r>
          </w:p>
        </w:tc>
        <w:tc>
          <w:tcPr>
            <w:tcW w:w="720" w:type="dxa"/>
            <w:gridSpan w:val="2"/>
            <w:vAlign w:val="bottom"/>
          </w:tcPr>
          <w:p w:rsidR="00AD5FD2" w:rsidRDefault="00AD5FD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182.11</w:t>
            </w:r>
          </w:p>
        </w:tc>
        <w:tc>
          <w:tcPr>
            <w:tcW w:w="720" w:type="dxa"/>
            <w:gridSpan w:val="2"/>
            <w:vAlign w:val="bottom"/>
          </w:tcPr>
          <w:p w:rsidR="00AD5FD2" w:rsidRDefault="00AD5FD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182.78</w:t>
            </w:r>
          </w:p>
        </w:tc>
        <w:tc>
          <w:tcPr>
            <w:tcW w:w="720" w:type="dxa"/>
            <w:gridSpan w:val="2"/>
            <w:vAlign w:val="bottom"/>
          </w:tcPr>
          <w:p w:rsidR="00AD5FD2" w:rsidRDefault="00AD5FD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183.36</w:t>
            </w:r>
          </w:p>
        </w:tc>
        <w:tc>
          <w:tcPr>
            <w:tcW w:w="720" w:type="dxa"/>
            <w:gridSpan w:val="2"/>
            <w:vAlign w:val="bottom"/>
          </w:tcPr>
          <w:p w:rsidR="00AD5FD2" w:rsidRDefault="00AD5FD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183.91</w:t>
            </w:r>
          </w:p>
        </w:tc>
        <w:tc>
          <w:tcPr>
            <w:tcW w:w="1170" w:type="dxa"/>
            <w:gridSpan w:val="2"/>
            <w:vAlign w:val="bottom"/>
          </w:tcPr>
          <w:p w:rsidR="00AD5FD2" w:rsidRDefault="00AD5FD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0.30</w:t>
            </w:r>
          </w:p>
        </w:tc>
        <w:tc>
          <w:tcPr>
            <w:tcW w:w="1350" w:type="dxa"/>
            <w:vAlign w:val="bottom"/>
          </w:tcPr>
          <w:p w:rsidR="00AD5FD2" w:rsidRDefault="00AD5FD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4.27</w:t>
            </w:r>
          </w:p>
        </w:tc>
        <w:tc>
          <w:tcPr>
            <w:tcW w:w="1170" w:type="dxa"/>
            <w:vAlign w:val="bottom"/>
          </w:tcPr>
          <w:p w:rsidR="00AD5FD2" w:rsidRDefault="00AD5FD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0.99</w:t>
            </w:r>
          </w:p>
        </w:tc>
      </w:tr>
      <w:tr w:rsidR="00AD5FD2" w:rsidRPr="00B713BF" w:rsidTr="0090370D">
        <w:tc>
          <w:tcPr>
            <w:tcW w:w="3510" w:type="dxa"/>
            <w:vAlign w:val="bottom"/>
          </w:tcPr>
          <w:p w:rsidR="00AD5FD2" w:rsidRPr="00B713BF" w:rsidRDefault="00AD5FD2" w:rsidP="00D9137B">
            <w:pPr>
              <w:rPr>
                <w:rFonts w:cs="Arial"/>
                <w:b/>
                <w:bCs/>
                <w:sz w:val="18"/>
                <w:szCs w:val="18"/>
                <w:lang w:val="en-US"/>
              </w:rPr>
            </w:pPr>
            <w:r>
              <w:rPr>
                <w:rFonts w:cs="Arial"/>
                <w:b/>
                <w:bCs/>
                <w:sz w:val="18"/>
                <w:szCs w:val="18"/>
                <w:lang w:val="en-US"/>
              </w:rPr>
              <w:t>Overall</w:t>
            </w:r>
          </w:p>
        </w:tc>
        <w:tc>
          <w:tcPr>
            <w:tcW w:w="900" w:type="dxa"/>
            <w:gridSpan w:val="2"/>
            <w:vAlign w:val="bottom"/>
          </w:tcPr>
          <w:p w:rsidR="00AD5FD2" w:rsidRDefault="00AD5FD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10000.00</w:t>
            </w:r>
          </w:p>
        </w:tc>
        <w:tc>
          <w:tcPr>
            <w:tcW w:w="720" w:type="dxa"/>
            <w:gridSpan w:val="2"/>
          </w:tcPr>
          <w:p w:rsidR="00AD5FD2" w:rsidRDefault="00AD5FD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179.98</w:t>
            </w:r>
          </w:p>
        </w:tc>
        <w:tc>
          <w:tcPr>
            <w:tcW w:w="720" w:type="dxa"/>
            <w:gridSpan w:val="2"/>
            <w:vAlign w:val="bottom"/>
          </w:tcPr>
          <w:p w:rsidR="00AD5FD2" w:rsidRDefault="00AD5FD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185.44</w:t>
            </w:r>
          </w:p>
        </w:tc>
        <w:tc>
          <w:tcPr>
            <w:tcW w:w="720" w:type="dxa"/>
            <w:gridSpan w:val="2"/>
            <w:vAlign w:val="bottom"/>
          </w:tcPr>
          <w:p w:rsidR="00AD5FD2" w:rsidRDefault="00AD5FD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185.47</w:t>
            </w:r>
          </w:p>
        </w:tc>
        <w:tc>
          <w:tcPr>
            <w:tcW w:w="720" w:type="dxa"/>
            <w:gridSpan w:val="2"/>
          </w:tcPr>
          <w:p w:rsidR="00AD5FD2" w:rsidRDefault="00AD5FD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185.81</w:t>
            </w:r>
          </w:p>
        </w:tc>
        <w:tc>
          <w:tcPr>
            <w:tcW w:w="720" w:type="dxa"/>
            <w:gridSpan w:val="2"/>
            <w:vAlign w:val="bottom"/>
          </w:tcPr>
          <w:p w:rsidR="00AD5FD2" w:rsidRDefault="00AD5FD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186.58</w:t>
            </w:r>
          </w:p>
        </w:tc>
        <w:tc>
          <w:tcPr>
            <w:tcW w:w="1170" w:type="dxa"/>
            <w:gridSpan w:val="2"/>
            <w:vAlign w:val="bottom"/>
          </w:tcPr>
          <w:p w:rsidR="00AD5FD2" w:rsidRDefault="00AD5FD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0.41</w:t>
            </w:r>
          </w:p>
        </w:tc>
        <w:tc>
          <w:tcPr>
            <w:tcW w:w="1350" w:type="dxa"/>
            <w:vAlign w:val="bottom"/>
          </w:tcPr>
          <w:p w:rsidR="00AD5FD2" w:rsidRDefault="00AD5FD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3.67</w:t>
            </w:r>
          </w:p>
        </w:tc>
        <w:tc>
          <w:tcPr>
            <w:tcW w:w="1170" w:type="dxa"/>
            <w:vAlign w:val="bottom"/>
          </w:tcPr>
          <w:p w:rsidR="00AD5FD2" w:rsidRDefault="00AD5FD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0.62</w:t>
            </w:r>
          </w:p>
        </w:tc>
      </w:tr>
      <w:tr w:rsidR="00AD5FD2" w:rsidRPr="00B713BF" w:rsidTr="0090370D">
        <w:tc>
          <w:tcPr>
            <w:tcW w:w="3510" w:type="dxa"/>
            <w:vAlign w:val="bottom"/>
          </w:tcPr>
          <w:p w:rsidR="00AD5FD2" w:rsidRPr="00B713BF" w:rsidRDefault="00AD5FD2" w:rsidP="00D9137B">
            <w:pPr>
              <w:rPr>
                <w:rFonts w:cs="Arial"/>
                <w:b/>
                <w:bCs/>
                <w:sz w:val="18"/>
                <w:szCs w:val="18"/>
                <w:lang w:val="en-US"/>
              </w:rPr>
            </w:pPr>
            <w:r>
              <w:rPr>
                <w:rFonts w:cs="Arial"/>
                <w:b/>
                <w:bCs/>
                <w:sz w:val="18"/>
                <w:szCs w:val="18"/>
                <w:lang w:val="en-US"/>
              </w:rPr>
              <w:t>Food and non-alcoholic beverages</w:t>
            </w:r>
          </w:p>
        </w:tc>
        <w:tc>
          <w:tcPr>
            <w:tcW w:w="900" w:type="dxa"/>
            <w:gridSpan w:val="2"/>
            <w:vAlign w:val="bottom"/>
          </w:tcPr>
          <w:p w:rsidR="00AD5FD2" w:rsidRDefault="00AD5FD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9008.34</w:t>
            </w:r>
          </w:p>
        </w:tc>
        <w:tc>
          <w:tcPr>
            <w:tcW w:w="720" w:type="dxa"/>
            <w:gridSpan w:val="2"/>
          </w:tcPr>
          <w:p w:rsidR="00AD5FD2" w:rsidRDefault="00AD5FD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184.43</w:t>
            </w:r>
          </w:p>
        </w:tc>
        <w:tc>
          <w:tcPr>
            <w:tcW w:w="720" w:type="dxa"/>
            <w:gridSpan w:val="2"/>
            <w:vAlign w:val="bottom"/>
          </w:tcPr>
          <w:p w:rsidR="00AD5FD2" w:rsidRDefault="00AD5FD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189.73</w:t>
            </w:r>
          </w:p>
        </w:tc>
        <w:tc>
          <w:tcPr>
            <w:tcW w:w="720" w:type="dxa"/>
            <w:gridSpan w:val="2"/>
            <w:vAlign w:val="bottom"/>
          </w:tcPr>
          <w:p w:rsidR="00AD5FD2" w:rsidRDefault="00AD5FD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189.73</w:t>
            </w:r>
          </w:p>
        </w:tc>
        <w:tc>
          <w:tcPr>
            <w:tcW w:w="720" w:type="dxa"/>
            <w:gridSpan w:val="2"/>
          </w:tcPr>
          <w:p w:rsidR="00AD5FD2" w:rsidRDefault="00AD5FD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189.94</w:t>
            </w:r>
          </w:p>
        </w:tc>
        <w:tc>
          <w:tcPr>
            <w:tcW w:w="720" w:type="dxa"/>
            <w:gridSpan w:val="2"/>
            <w:vAlign w:val="bottom"/>
          </w:tcPr>
          <w:p w:rsidR="00AD5FD2" w:rsidRDefault="00AD5FD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190.74</w:t>
            </w:r>
          </w:p>
        </w:tc>
        <w:tc>
          <w:tcPr>
            <w:tcW w:w="1170" w:type="dxa"/>
            <w:gridSpan w:val="2"/>
            <w:tcBorders>
              <w:right w:val="single" w:sz="4" w:space="0" w:color="auto"/>
            </w:tcBorders>
            <w:vAlign w:val="bottom"/>
          </w:tcPr>
          <w:p w:rsidR="00AD5FD2" w:rsidRDefault="00AD5FD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0.04</w:t>
            </w:r>
          </w:p>
        </w:tc>
        <w:tc>
          <w:tcPr>
            <w:tcW w:w="1350" w:type="dxa"/>
            <w:tcBorders>
              <w:left w:val="single" w:sz="4" w:space="0" w:color="auto"/>
            </w:tcBorders>
            <w:vAlign w:val="bottom"/>
          </w:tcPr>
          <w:p w:rsidR="00AD5FD2" w:rsidRDefault="00AD5FD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3.42</w:t>
            </w:r>
          </w:p>
        </w:tc>
        <w:tc>
          <w:tcPr>
            <w:tcW w:w="1170" w:type="dxa"/>
            <w:vAlign w:val="bottom"/>
          </w:tcPr>
          <w:p w:rsidR="00AD5FD2" w:rsidRDefault="00AD5FD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0.53</w:t>
            </w:r>
          </w:p>
        </w:tc>
      </w:tr>
      <w:tr w:rsidR="00AD5FD2" w:rsidTr="009037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15"/>
        </w:trPr>
        <w:tc>
          <w:tcPr>
            <w:tcW w:w="3510" w:type="dxa"/>
          </w:tcPr>
          <w:p w:rsidR="00AD5FD2" w:rsidRPr="00E6619F" w:rsidRDefault="00AD5FD2" w:rsidP="00D9137B">
            <w:pPr>
              <w:rPr>
                <w:b/>
                <w:sz w:val="18"/>
                <w:szCs w:val="18"/>
              </w:rPr>
            </w:pPr>
            <w:r w:rsidRPr="00E6619F">
              <w:rPr>
                <w:b/>
                <w:sz w:val="18"/>
                <w:szCs w:val="18"/>
              </w:rPr>
              <w:t>Non-food and service</w:t>
            </w:r>
          </w:p>
        </w:tc>
        <w:tc>
          <w:tcPr>
            <w:tcW w:w="900" w:type="dxa"/>
            <w:gridSpan w:val="2"/>
            <w:vAlign w:val="bottom"/>
          </w:tcPr>
          <w:p w:rsidR="00AD5FD2" w:rsidRDefault="00AD5FD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991.66</w:t>
            </w:r>
          </w:p>
        </w:tc>
        <w:tc>
          <w:tcPr>
            <w:tcW w:w="720" w:type="dxa"/>
            <w:gridSpan w:val="2"/>
          </w:tcPr>
          <w:p w:rsidR="00AD5FD2" w:rsidRDefault="00AD5FD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139.52</w:t>
            </w:r>
          </w:p>
        </w:tc>
        <w:tc>
          <w:tcPr>
            <w:tcW w:w="720" w:type="dxa"/>
            <w:gridSpan w:val="2"/>
            <w:vAlign w:val="bottom"/>
          </w:tcPr>
          <w:p w:rsidR="00AD5FD2" w:rsidRDefault="00AD5FD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146.40</w:t>
            </w:r>
          </w:p>
        </w:tc>
        <w:tc>
          <w:tcPr>
            <w:tcW w:w="720" w:type="dxa"/>
            <w:gridSpan w:val="2"/>
            <w:vAlign w:val="bottom"/>
          </w:tcPr>
          <w:p w:rsidR="00AD5FD2" w:rsidRDefault="00AD5FD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146.72</w:t>
            </w:r>
          </w:p>
        </w:tc>
        <w:tc>
          <w:tcPr>
            <w:tcW w:w="720" w:type="dxa"/>
            <w:gridSpan w:val="2"/>
          </w:tcPr>
          <w:p w:rsidR="00AD5FD2" w:rsidRDefault="00AD5FD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148.34</w:t>
            </w:r>
          </w:p>
        </w:tc>
        <w:tc>
          <w:tcPr>
            <w:tcW w:w="720" w:type="dxa"/>
            <w:gridSpan w:val="2"/>
            <w:vAlign w:val="bottom"/>
          </w:tcPr>
          <w:p w:rsidR="00AD5FD2" w:rsidRDefault="00AD5FD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148.79</w:t>
            </w:r>
          </w:p>
        </w:tc>
        <w:tc>
          <w:tcPr>
            <w:tcW w:w="1170" w:type="dxa"/>
            <w:gridSpan w:val="2"/>
            <w:vAlign w:val="bottom"/>
          </w:tcPr>
          <w:p w:rsidR="00AD5FD2" w:rsidRDefault="00AD5FD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0.26</w:t>
            </w:r>
          </w:p>
        </w:tc>
        <w:tc>
          <w:tcPr>
            <w:tcW w:w="1350" w:type="dxa"/>
            <w:vAlign w:val="bottom"/>
          </w:tcPr>
          <w:p w:rsidR="00AD5FD2" w:rsidRDefault="00AD5FD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6.64</w:t>
            </w:r>
          </w:p>
        </w:tc>
        <w:tc>
          <w:tcPr>
            <w:tcW w:w="1170" w:type="dxa"/>
            <w:vAlign w:val="bottom"/>
          </w:tcPr>
          <w:p w:rsidR="00AD5FD2" w:rsidRDefault="00AD5FD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1.63</w:t>
            </w:r>
          </w:p>
        </w:tc>
      </w:tr>
    </w:tbl>
    <w:p w:rsidR="003B151C" w:rsidRPr="00E460E7" w:rsidRDefault="003B151C" w:rsidP="003B151C">
      <w:pPr>
        <w:spacing w:before="100" w:beforeAutospacing="1" w:after="100" w:afterAutospacing="1" w:line="360" w:lineRule="auto"/>
        <w:jc w:val="both"/>
        <w:rPr>
          <w:rFonts w:cs="Arial"/>
          <w:sz w:val="21"/>
          <w:szCs w:val="21"/>
        </w:rPr>
      </w:pPr>
      <w:r w:rsidRPr="00E460E7">
        <w:rPr>
          <w:rFonts w:cs="Arial"/>
          <w:sz w:val="21"/>
          <w:szCs w:val="21"/>
        </w:rPr>
        <w:t xml:space="preserve">The Producer Price Index (PPI) basket measured on month – to - month basis recorded an index of </w:t>
      </w:r>
      <w:r w:rsidRPr="00E460E7">
        <w:rPr>
          <w:rFonts w:cs="Arial"/>
          <w:b/>
          <w:bCs/>
          <w:color w:val="000000"/>
          <w:sz w:val="21"/>
          <w:szCs w:val="21"/>
        </w:rPr>
        <w:t>1</w:t>
      </w:r>
      <w:r w:rsidR="00F321D3">
        <w:rPr>
          <w:rFonts w:cs="Arial"/>
          <w:b/>
          <w:bCs/>
          <w:color w:val="000000"/>
          <w:sz w:val="21"/>
          <w:szCs w:val="21"/>
        </w:rPr>
        <w:t>8</w:t>
      </w:r>
      <w:r w:rsidR="00C45293">
        <w:rPr>
          <w:rFonts w:cs="Arial"/>
          <w:b/>
          <w:bCs/>
          <w:color w:val="000000"/>
          <w:sz w:val="21"/>
          <w:szCs w:val="21"/>
        </w:rPr>
        <w:t>3.91</w:t>
      </w:r>
      <w:r w:rsidRPr="00E460E7">
        <w:rPr>
          <w:rFonts w:cs="Arial"/>
          <w:sz w:val="21"/>
          <w:szCs w:val="21"/>
        </w:rPr>
        <w:t xml:space="preserve"> in </w:t>
      </w:r>
      <w:r w:rsidR="00C45293">
        <w:rPr>
          <w:rFonts w:cs="Arial"/>
          <w:sz w:val="21"/>
          <w:szCs w:val="21"/>
        </w:rPr>
        <w:t>June</w:t>
      </w:r>
      <w:r w:rsidR="009A6C12">
        <w:rPr>
          <w:rFonts w:cs="Arial"/>
          <w:sz w:val="21"/>
          <w:szCs w:val="21"/>
        </w:rPr>
        <w:t xml:space="preserve"> 2016</w:t>
      </w:r>
      <w:r w:rsidRPr="00E460E7">
        <w:rPr>
          <w:rFonts w:cs="Arial"/>
          <w:sz w:val="21"/>
          <w:szCs w:val="21"/>
        </w:rPr>
        <w:t xml:space="preserve"> compared to the figure of </w:t>
      </w:r>
      <w:r w:rsidRPr="00E460E7">
        <w:rPr>
          <w:rFonts w:cs="Arial"/>
          <w:b/>
          <w:sz w:val="21"/>
          <w:szCs w:val="21"/>
        </w:rPr>
        <w:t>1</w:t>
      </w:r>
      <w:r w:rsidR="00F321D3">
        <w:rPr>
          <w:rFonts w:cs="Arial"/>
          <w:b/>
          <w:sz w:val="21"/>
          <w:szCs w:val="21"/>
        </w:rPr>
        <w:t>7</w:t>
      </w:r>
      <w:r w:rsidR="00C45293">
        <w:rPr>
          <w:rFonts w:cs="Arial"/>
          <w:b/>
          <w:sz w:val="21"/>
          <w:szCs w:val="21"/>
        </w:rPr>
        <w:t>9.98</w:t>
      </w:r>
      <w:r w:rsidRPr="00E460E7">
        <w:rPr>
          <w:rFonts w:cs="Arial"/>
          <w:sz w:val="21"/>
          <w:szCs w:val="21"/>
        </w:rPr>
        <w:t xml:space="preserve"> shown in </w:t>
      </w:r>
      <w:r w:rsidR="00C45293">
        <w:rPr>
          <w:rFonts w:cs="Arial"/>
          <w:sz w:val="21"/>
          <w:szCs w:val="21"/>
        </w:rPr>
        <w:t>June</w:t>
      </w:r>
      <w:r w:rsidR="009A6C12">
        <w:rPr>
          <w:rFonts w:cs="Arial"/>
          <w:sz w:val="21"/>
          <w:szCs w:val="21"/>
        </w:rPr>
        <w:t xml:space="preserve"> 2015</w:t>
      </w:r>
      <w:r w:rsidRPr="00E460E7">
        <w:rPr>
          <w:rFonts w:cs="Arial"/>
          <w:sz w:val="21"/>
          <w:szCs w:val="21"/>
        </w:rPr>
        <w:t xml:space="preserve"> resulting inflationary rate </w:t>
      </w:r>
      <w:r w:rsidRPr="00E460E7">
        <w:rPr>
          <w:rFonts w:cs="Arial"/>
          <w:sz w:val="21"/>
          <w:szCs w:val="21"/>
        </w:rPr>
        <w:lastRenderedPageBreak/>
        <w:t xml:space="preserve">of </w:t>
      </w:r>
      <w:r w:rsidR="00C45293">
        <w:rPr>
          <w:rFonts w:cs="Arial"/>
          <w:b/>
          <w:bCs/>
          <w:color w:val="000000"/>
          <w:sz w:val="21"/>
          <w:szCs w:val="21"/>
        </w:rPr>
        <w:t>3.67</w:t>
      </w:r>
      <w:r w:rsidRPr="00E460E7">
        <w:rPr>
          <w:rFonts w:cs="Arial"/>
          <w:sz w:val="21"/>
          <w:szCs w:val="21"/>
        </w:rPr>
        <w:t xml:space="preserve">%. The food and non-alcoholic beverages products increase by </w:t>
      </w:r>
      <w:r w:rsidR="006F1E37">
        <w:rPr>
          <w:rFonts w:cs="Arial"/>
          <w:b/>
          <w:bCs/>
          <w:sz w:val="21"/>
          <w:szCs w:val="21"/>
        </w:rPr>
        <w:t>3.42</w:t>
      </w:r>
      <w:r w:rsidRPr="00E460E7">
        <w:rPr>
          <w:rFonts w:cs="Arial"/>
          <w:sz w:val="21"/>
          <w:szCs w:val="21"/>
        </w:rPr>
        <w:t xml:space="preserve">% during the year, whilst that of non-food and services products registered a growth rate of </w:t>
      </w:r>
      <w:r w:rsidR="006F1E37">
        <w:rPr>
          <w:rFonts w:cs="Arial"/>
          <w:b/>
          <w:bCs/>
          <w:color w:val="000000"/>
          <w:sz w:val="21"/>
          <w:szCs w:val="21"/>
        </w:rPr>
        <w:t>6.64</w:t>
      </w:r>
      <w:r w:rsidRPr="00E460E7">
        <w:rPr>
          <w:rFonts w:cs="Arial"/>
          <w:sz w:val="21"/>
          <w:szCs w:val="21"/>
        </w:rPr>
        <w:t xml:space="preserve">%. </w:t>
      </w:r>
    </w:p>
    <w:p w:rsidR="0090370D" w:rsidRDefault="003B151C" w:rsidP="0090370D">
      <w:pPr>
        <w:jc w:val="both"/>
        <w:rPr>
          <w:rFonts w:cs="Arial"/>
          <w:sz w:val="18"/>
          <w:szCs w:val="18"/>
        </w:rPr>
      </w:pPr>
      <w:r w:rsidRPr="00E460E7">
        <w:rPr>
          <w:rFonts w:cs="Arial"/>
          <w:sz w:val="21"/>
          <w:szCs w:val="21"/>
        </w:rPr>
        <w:t xml:space="preserve">However during this year price increases were </w:t>
      </w:r>
      <w:r w:rsidR="00356F5E">
        <w:rPr>
          <w:rFonts w:cs="Arial"/>
          <w:sz w:val="21"/>
          <w:szCs w:val="21"/>
        </w:rPr>
        <w:t xml:space="preserve">mainly </w:t>
      </w:r>
      <w:r w:rsidRPr="00E460E7">
        <w:rPr>
          <w:rFonts w:cs="Arial"/>
          <w:sz w:val="21"/>
          <w:szCs w:val="21"/>
        </w:rPr>
        <w:t>registered in the</w:t>
      </w:r>
      <w:r w:rsidR="004D38EE" w:rsidRPr="004D38EE">
        <w:rPr>
          <w:rFonts w:cs="Arial"/>
          <w:sz w:val="21"/>
          <w:szCs w:val="21"/>
        </w:rPr>
        <w:t xml:space="preserve"> </w:t>
      </w:r>
      <w:r w:rsidR="00EB1450">
        <w:rPr>
          <w:rFonts w:cs="Arial"/>
          <w:sz w:val="21"/>
          <w:szCs w:val="21"/>
        </w:rPr>
        <w:t>m</w:t>
      </w:r>
      <w:r w:rsidR="00EB1450">
        <w:rPr>
          <w:rFonts w:cs="Arial"/>
          <w:sz w:val="18"/>
          <w:szCs w:val="18"/>
        </w:rPr>
        <w:t xml:space="preserve">anufacturing of other fabricated metal products n. e. c. (51.25%); </w:t>
      </w:r>
      <w:r w:rsidR="006F1410">
        <w:rPr>
          <w:rFonts w:cs="Arial"/>
          <w:sz w:val="18"/>
          <w:szCs w:val="18"/>
        </w:rPr>
        <w:t xml:space="preserve">manufacturing of dairy products (19.92%); </w:t>
      </w:r>
      <w:r w:rsidR="00A1191D">
        <w:rPr>
          <w:rFonts w:cs="Arial"/>
          <w:sz w:val="18"/>
          <w:szCs w:val="18"/>
        </w:rPr>
        <w:t>manufacturing of grain mill products (14.93%); manufacturing of foot wears</w:t>
      </w:r>
      <w:r w:rsidR="003873FA">
        <w:rPr>
          <w:rFonts w:cs="Arial"/>
          <w:sz w:val="18"/>
          <w:szCs w:val="18"/>
        </w:rPr>
        <w:t xml:space="preserve"> (13.70%); </w:t>
      </w:r>
      <w:r w:rsidR="00493283">
        <w:rPr>
          <w:rFonts w:cs="Arial"/>
          <w:sz w:val="18"/>
          <w:szCs w:val="18"/>
        </w:rPr>
        <w:t xml:space="preserve">manufacturing of furniture (13.27%); Processing and preserving of fish (12.29%); Manufacturing of paints varnishes; coating, ink  and mastics (11.24%); Processing and preserving of fruits and vegetables (8.12%); Manufacture of other food products n, e. c. (7.70%); </w:t>
      </w:r>
      <w:r w:rsidR="0090370D">
        <w:rPr>
          <w:rFonts w:cs="Arial"/>
          <w:sz w:val="18"/>
          <w:szCs w:val="18"/>
        </w:rPr>
        <w:t>Processing and preserving of vegetable and animal oil and fats (4.46%) and Processing and preserving of meat (3.43%).</w:t>
      </w:r>
    </w:p>
    <w:p w:rsidR="0090370D" w:rsidRDefault="0090370D" w:rsidP="0090370D">
      <w:pPr>
        <w:jc w:val="both"/>
        <w:rPr>
          <w:rFonts w:cs="Arial"/>
          <w:sz w:val="18"/>
          <w:szCs w:val="18"/>
        </w:rPr>
      </w:pPr>
    </w:p>
    <w:p w:rsidR="00655B36" w:rsidRPr="00B713BF" w:rsidRDefault="003B151C" w:rsidP="00655B36">
      <w:pPr>
        <w:jc w:val="both"/>
        <w:rPr>
          <w:rFonts w:cs="Arial"/>
          <w:sz w:val="18"/>
          <w:szCs w:val="18"/>
        </w:rPr>
      </w:pPr>
      <w:r w:rsidRPr="00E460E7">
        <w:rPr>
          <w:rFonts w:cs="Arial"/>
          <w:sz w:val="21"/>
          <w:szCs w:val="21"/>
        </w:rPr>
        <w:t>On the other hand, Inflation measured on quarterly-basis of the PPI basket, pri</w:t>
      </w:r>
      <w:r w:rsidR="001967C7">
        <w:rPr>
          <w:rFonts w:cs="Arial"/>
          <w:sz w:val="21"/>
          <w:szCs w:val="21"/>
        </w:rPr>
        <w:t>c</w:t>
      </w:r>
      <w:r w:rsidR="00FE2EA3">
        <w:rPr>
          <w:rFonts w:cs="Arial"/>
          <w:sz w:val="21"/>
          <w:szCs w:val="21"/>
        </w:rPr>
        <w:t>e has increase during the first</w:t>
      </w:r>
      <w:r w:rsidR="001967C7">
        <w:rPr>
          <w:rFonts w:cs="Arial"/>
          <w:sz w:val="21"/>
          <w:szCs w:val="21"/>
        </w:rPr>
        <w:t xml:space="preserve"> </w:t>
      </w:r>
      <w:r w:rsidR="001967C7" w:rsidRPr="00E460E7">
        <w:rPr>
          <w:rFonts w:cs="Arial"/>
          <w:sz w:val="21"/>
          <w:szCs w:val="21"/>
        </w:rPr>
        <w:t>quarter</w:t>
      </w:r>
      <w:r w:rsidR="00870804">
        <w:rPr>
          <w:rFonts w:cs="Arial"/>
          <w:sz w:val="21"/>
          <w:szCs w:val="21"/>
        </w:rPr>
        <w:t xml:space="preserve"> from the index of </w:t>
      </w:r>
      <w:r w:rsidR="00870804" w:rsidRPr="0000116F">
        <w:rPr>
          <w:rFonts w:cs="Arial"/>
          <w:b/>
          <w:sz w:val="21"/>
          <w:szCs w:val="21"/>
        </w:rPr>
        <w:t>1</w:t>
      </w:r>
      <w:r w:rsidR="0090370D">
        <w:rPr>
          <w:rFonts w:cs="Arial"/>
          <w:b/>
          <w:sz w:val="21"/>
          <w:szCs w:val="21"/>
        </w:rPr>
        <w:t>85.44</w:t>
      </w:r>
      <w:r w:rsidR="0079592D">
        <w:rPr>
          <w:rFonts w:cs="Arial"/>
          <w:sz w:val="21"/>
          <w:szCs w:val="21"/>
        </w:rPr>
        <w:t xml:space="preserve"> (</w:t>
      </w:r>
      <w:r w:rsidR="0090370D">
        <w:rPr>
          <w:rFonts w:cs="Arial"/>
          <w:sz w:val="21"/>
          <w:szCs w:val="21"/>
        </w:rPr>
        <w:t>March 2016</w:t>
      </w:r>
      <w:r w:rsidRPr="00E460E7">
        <w:rPr>
          <w:rFonts w:cs="Arial"/>
          <w:sz w:val="21"/>
          <w:szCs w:val="21"/>
        </w:rPr>
        <w:t xml:space="preserve">) to index of </w:t>
      </w:r>
      <w:r w:rsidR="0079592D">
        <w:rPr>
          <w:rFonts w:cs="Arial"/>
          <w:sz w:val="21"/>
          <w:szCs w:val="21"/>
        </w:rPr>
        <w:t>1</w:t>
      </w:r>
      <w:r w:rsidR="0090370D">
        <w:rPr>
          <w:rFonts w:cs="Arial"/>
          <w:sz w:val="21"/>
          <w:szCs w:val="21"/>
        </w:rPr>
        <w:t>86.58</w:t>
      </w:r>
      <w:r w:rsidRPr="00E460E7">
        <w:rPr>
          <w:rFonts w:cs="Arial"/>
          <w:sz w:val="21"/>
          <w:szCs w:val="21"/>
        </w:rPr>
        <w:t xml:space="preserve"> </w:t>
      </w:r>
      <w:r w:rsidR="009C7F60">
        <w:rPr>
          <w:rFonts w:cs="Arial"/>
          <w:sz w:val="21"/>
          <w:szCs w:val="21"/>
        </w:rPr>
        <w:t>(</w:t>
      </w:r>
      <w:r w:rsidR="0090370D">
        <w:rPr>
          <w:rFonts w:cs="Arial"/>
          <w:sz w:val="21"/>
          <w:szCs w:val="21"/>
        </w:rPr>
        <w:t>June</w:t>
      </w:r>
      <w:r w:rsidR="0079592D">
        <w:rPr>
          <w:rFonts w:cs="Arial"/>
          <w:sz w:val="21"/>
          <w:szCs w:val="21"/>
        </w:rPr>
        <w:t xml:space="preserve"> 2016</w:t>
      </w:r>
      <w:r w:rsidRPr="00E460E7">
        <w:rPr>
          <w:rFonts w:cs="Arial"/>
          <w:sz w:val="21"/>
          <w:szCs w:val="21"/>
        </w:rPr>
        <w:t xml:space="preserve">), reflects an inflationary rate of </w:t>
      </w:r>
      <w:r w:rsidR="0090370D">
        <w:rPr>
          <w:rFonts w:cs="Arial"/>
          <w:b/>
          <w:bCs/>
          <w:sz w:val="21"/>
          <w:szCs w:val="21"/>
        </w:rPr>
        <w:t>0.62</w:t>
      </w:r>
      <w:r w:rsidRPr="00E460E7">
        <w:rPr>
          <w:rFonts w:cs="Arial"/>
          <w:sz w:val="21"/>
          <w:szCs w:val="21"/>
        </w:rPr>
        <w:t>%. This inflationary pressure is mainly due to price increases in</w:t>
      </w:r>
      <w:r w:rsidR="00A059BC">
        <w:rPr>
          <w:rFonts w:cs="Arial"/>
          <w:sz w:val="21"/>
          <w:szCs w:val="21"/>
        </w:rPr>
        <w:t xml:space="preserve"> </w:t>
      </w:r>
      <w:r w:rsidR="0090370D">
        <w:rPr>
          <w:rFonts w:cs="Arial"/>
          <w:sz w:val="18"/>
          <w:szCs w:val="18"/>
        </w:rPr>
        <w:t>manufacturing of other fabricated metal products n. e. c. (51.25%); manufacturing of dairy products (15.85%); Manufacturing of foot wears (13.70%)</w:t>
      </w:r>
      <w:r w:rsidR="00655B36">
        <w:rPr>
          <w:rFonts w:cs="Arial"/>
          <w:sz w:val="18"/>
          <w:szCs w:val="18"/>
        </w:rPr>
        <w:t xml:space="preserve">; </w:t>
      </w:r>
      <w:r w:rsidR="00655B36">
        <w:rPr>
          <w:rFonts w:cs="Arial"/>
          <w:sz w:val="18"/>
          <w:szCs w:val="18"/>
        </w:rPr>
        <w:t>Manufacture of soap; detergents; cleaning; polishing preparations</w:t>
      </w:r>
      <w:r w:rsidR="00655B36">
        <w:rPr>
          <w:rFonts w:cs="Arial"/>
          <w:sz w:val="18"/>
          <w:szCs w:val="18"/>
        </w:rPr>
        <w:t xml:space="preserve"> (9.38%);</w:t>
      </w:r>
    </w:p>
    <w:p w:rsidR="00655B36" w:rsidRPr="00B713BF" w:rsidRDefault="00655B36" w:rsidP="00655B36">
      <w:pPr>
        <w:jc w:val="both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Manufacture</w:t>
      </w:r>
      <w:r>
        <w:rPr>
          <w:rFonts w:cs="Arial"/>
          <w:sz w:val="18"/>
          <w:szCs w:val="18"/>
        </w:rPr>
        <w:t xml:space="preserve"> of other food products n, e. c.</w:t>
      </w:r>
      <w:r>
        <w:rPr>
          <w:rFonts w:cs="Arial"/>
          <w:sz w:val="18"/>
          <w:szCs w:val="18"/>
        </w:rPr>
        <w:t xml:space="preserve"> (6.70%); </w:t>
      </w:r>
      <w:r>
        <w:rPr>
          <w:rFonts w:cs="Arial"/>
          <w:sz w:val="18"/>
          <w:szCs w:val="18"/>
        </w:rPr>
        <w:t>Processing and preserving of fish</w:t>
      </w:r>
      <w:r>
        <w:rPr>
          <w:rFonts w:cs="Arial"/>
          <w:sz w:val="18"/>
          <w:szCs w:val="18"/>
        </w:rPr>
        <w:t xml:space="preserve"> (4.87%); </w:t>
      </w:r>
      <w:r>
        <w:rPr>
          <w:rFonts w:cs="Arial"/>
          <w:sz w:val="18"/>
          <w:szCs w:val="18"/>
        </w:rPr>
        <w:t>Processing and preserving of fruits and vegetables</w:t>
      </w:r>
      <w:r>
        <w:rPr>
          <w:rFonts w:cs="Arial"/>
          <w:sz w:val="18"/>
          <w:szCs w:val="18"/>
        </w:rPr>
        <w:t xml:space="preserve"> and furniture (2.19%).</w:t>
      </w:r>
    </w:p>
    <w:p w:rsidR="00655B36" w:rsidRPr="00B713BF" w:rsidRDefault="00655B36" w:rsidP="00655B36">
      <w:pPr>
        <w:jc w:val="both"/>
        <w:rPr>
          <w:rFonts w:cs="Arial"/>
          <w:sz w:val="18"/>
          <w:szCs w:val="18"/>
        </w:rPr>
      </w:pPr>
    </w:p>
    <w:p w:rsidR="00655B36" w:rsidRPr="00B713BF" w:rsidRDefault="00655B36" w:rsidP="00655B36">
      <w:pPr>
        <w:jc w:val="both"/>
        <w:rPr>
          <w:rFonts w:cs="Arial"/>
          <w:sz w:val="18"/>
          <w:szCs w:val="18"/>
        </w:rPr>
      </w:pPr>
    </w:p>
    <w:p w:rsidR="0090370D" w:rsidRPr="00B713BF" w:rsidRDefault="0090370D" w:rsidP="0090370D">
      <w:pPr>
        <w:jc w:val="both"/>
        <w:rPr>
          <w:rFonts w:cs="Arial"/>
          <w:sz w:val="18"/>
          <w:szCs w:val="18"/>
        </w:rPr>
      </w:pPr>
    </w:p>
    <w:p w:rsidR="003B151C" w:rsidRPr="0090370D" w:rsidRDefault="003B151C" w:rsidP="0090370D">
      <w:pPr>
        <w:jc w:val="both"/>
        <w:rPr>
          <w:rFonts w:cs="Arial"/>
          <w:sz w:val="18"/>
          <w:szCs w:val="18"/>
        </w:rPr>
      </w:pPr>
    </w:p>
    <w:p w:rsidR="003B151C" w:rsidRPr="009B55C3" w:rsidRDefault="003B151C" w:rsidP="003B151C">
      <w:pPr>
        <w:pStyle w:val="ListParagraph"/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sz w:val="21"/>
          <w:szCs w:val="21"/>
          <w:lang w:val="en-GB"/>
        </w:rPr>
      </w:pPr>
      <w:r w:rsidRPr="009B55C3">
        <w:rPr>
          <w:rFonts w:ascii="Arial" w:eastAsia="Times New Roman" w:hAnsi="Arial" w:cs="Arial"/>
          <w:sz w:val="21"/>
          <w:szCs w:val="21"/>
          <w:lang w:val="en-GB"/>
        </w:rPr>
        <w:t xml:space="preserve">Using the </w:t>
      </w:r>
      <w:r w:rsidRPr="00737154">
        <w:rPr>
          <w:rFonts w:ascii="Arial" w:eastAsia="Times New Roman" w:hAnsi="Arial" w:cs="Arial"/>
          <w:b/>
          <w:sz w:val="21"/>
          <w:szCs w:val="21"/>
          <w:lang w:val="en-GB"/>
        </w:rPr>
        <w:t>12 months-moving-average measure</w:t>
      </w:r>
      <w:r w:rsidRPr="009B55C3">
        <w:rPr>
          <w:rFonts w:ascii="Arial" w:eastAsia="Times New Roman" w:hAnsi="Arial" w:cs="Arial"/>
          <w:sz w:val="21"/>
          <w:szCs w:val="21"/>
          <w:lang w:val="en-GB"/>
        </w:rPr>
        <w:t xml:space="preserve">, the inflation rate is </w:t>
      </w:r>
      <w:r w:rsidR="00655B36">
        <w:rPr>
          <w:rFonts w:ascii="Arial" w:hAnsi="Arial" w:cs="Arial"/>
          <w:b/>
          <w:bCs/>
          <w:sz w:val="21"/>
          <w:szCs w:val="21"/>
        </w:rPr>
        <w:t>4.27</w:t>
      </w:r>
      <w:r w:rsidR="00BB03DA">
        <w:rPr>
          <w:rFonts w:ascii="Arial" w:hAnsi="Arial" w:cs="Arial"/>
          <w:b/>
          <w:bCs/>
          <w:sz w:val="21"/>
          <w:szCs w:val="21"/>
        </w:rPr>
        <w:t>%</w:t>
      </w:r>
      <w:r w:rsidRPr="009B55C3">
        <w:rPr>
          <w:rFonts w:ascii="Arial" w:eastAsia="Times New Roman" w:hAnsi="Arial" w:cs="Arial"/>
          <w:sz w:val="21"/>
          <w:szCs w:val="21"/>
          <w:lang w:val="en-GB"/>
        </w:rPr>
        <w:t xml:space="preserve"> from </w:t>
      </w:r>
      <w:r w:rsidR="00655B36">
        <w:rPr>
          <w:rFonts w:ascii="Arial" w:eastAsia="Times New Roman" w:hAnsi="Arial" w:cs="Arial"/>
          <w:sz w:val="21"/>
          <w:szCs w:val="21"/>
          <w:lang w:val="en-GB"/>
        </w:rPr>
        <w:t>July 2015 to June</w:t>
      </w:r>
      <w:r w:rsidR="00A059BC">
        <w:rPr>
          <w:rFonts w:ascii="Arial" w:eastAsia="Times New Roman" w:hAnsi="Arial" w:cs="Arial"/>
          <w:sz w:val="21"/>
          <w:szCs w:val="21"/>
          <w:lang w:val="en-GB"/>
        </w:rPr>
        <w:t xml:space="preserve"> 2016</w:t>
      </w:r>
      <w:r w:rsidR="00E729AC">
        <w:rPr>
          <w:rFonts w:ascii="Arial" w:eastAsia="Times New Roman" w:hAnsi="Arial" w:cs="Arial"/>
          <w:sz w:val="21"/>
          <w:szCs w:val="21"/>
          <w:lang w:val="en-GB"/>
        </w:rPr>
        <w:t>.</w:t>
      </w:r>
    </w:p>
    <w:tbl>
      <w:tblPr>
        <w:tblW w:w="9636" w:type="dxa"/>
        <w:jc w:val="center"/>
        <w:tblInd w:w="-168" w:type="dxa"/>
        <w:tblBorders>
          <w:top w:val="single" w:sz="12" w:space="0" w:color="auto"/>
          <w:bottom w:val="single" w:sz="12" w:space="0" w:color="auto"/>
        </w:tblBorders>
        <w:tblLayout w:type="fixed"/>
        <w:tblLook w:val="04A0"/>
      </w:tblPr>
      <w:tblGrid>
        <w:gridCol w:w="6"/>
        <w:gridCol w:w="87"/>
        <w:gridCol w:w="171"/>
        <w:gridCol w:w="262"/>
        <w:gridCol w:w="177"/>
        <w:gridCol w:w="716"/>
        <w:gridCol w:w="718"/>
        <w:gridCol w:w="237"/>
        <w:gridCol w:w="573"/>
        <w:gridCol w:w="810"/>
        <w:gridCol w:w="257"/>
        <w:gridCol w:w="467"/>
        <w:gridCol w:w="511"/>
        <w:gridCol w:w="213"/>
        <w:gridCol w:w="725"/>
        <w:gridCol w:w="700"/>
        <w:gridCol w:w="680"/>
        <w:gridCol w:w="389"/>
        <w:gridCol w:w="236"/>
        <w:gridCol w:w="150"/>
        <w:gridCol w:w="505"/>
        <w:gridCol w:w="305"/>
        <w:gridCol w:w="741"/>
      </w:tblGrid>
      <w:tr w:rsidR="003B151C" w:rsidRPr="007A5077" w:rsidTr="00F2312A">
        <w:trPr>
          <w:gridBefore w:val="2"/>
          <w:gridAfter w:val="2"/>
          <w:wBefore w:w="93" w:type="dxa"/>
          <w:wAfter w:w="1046" w:type="dxa"/>
          <w:trHeight w:val="300"/>
          <w:jc w:val="center"/>
        </w:trPr>
        <w:tc>
          <w:tcPr>
            <w:tcW w:w="8497" w:type="dxa"/>
            <w:gridSpan w:val="19"/>
            <w:tcBorders>
              <w:top w:val="single" w:sz="12" w:space="0" w:color="auto"/>
              <w:bottom w:val="single" w:sz="4" w:space="0" w:color="auto"/>
            </w:tcBorders>
            <w:hideMark/>
          </w:tcPr>
          <w:p w:rsidR="003B151C" w:rsidRPr="007A5077" w:rsidRDefault="003B151C" w:rsidP="009373F5">
            <w:pPr>
              <w:jc w:val="center"/>
              <w:rPr>
                <w:rFonts w:cs="Arial"/>
                <w:sz w:val="18"/>
                <w:szCs w:val="18"/>
              </w:rPr>
            </w:pPr>
            <w:r w:rsidRPr="007A5077">
              <w:rPr>
                <w:rFonts w:cs="Arial"/>
                <w:b/>
                <w:bCs/>
                <w:sz w:val="18"/>
                <w:szCs w:val="18"/>
                <w:lang w:val="en-US"/>
              </w:rPr>
              <w:t>Table 2: Overall Annual Inflation Rate (over 12 months – Comparison with the same month for the previous year</w:t>
            </w:r>
          </w:p>
        </w:tc>
      </w:tr>
      <w:tr w:rsidR="003B151C" w:rsidTr="00F2312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Before w:val="1"/>
          <w:wBefore w:w="6" w:type="dxa"/>
          <w:trHeight w:val="255"/>
        </w:trPr>
        <w:tc>
          <w:tcPr>
            <w:tcW w:w="6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Year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Jan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Feb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Mar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April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May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June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July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Aug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Sept</w:t>
            </w:r>
          </w:p>
        </w:tc>
        <w:tc>
          <w:tcPr>
            <w:tcW w:w="7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Oct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Nov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Dec</w:t>
            </w:r>
          </w:p>
        </w:tc>
      </w:tr>
      <w:tr w:rsidR="00F2312A" w:rsidTr="00F2312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Before w:val="1"/>
          <w:wBefore w:w="6" w:type="dxa"/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12A" w:rsidRPr="00F2312A" w:rsidRDefault="00F2312A" w:rsidP="009373F5">
            <w:pPr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2010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1.76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3.41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6.34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5.97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5.96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9.52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15.42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14.75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14.93</w:t>
            </w:r>
          </w:p>
        </w:tc>
        <w:tc>
          <w:tcPr>
            <w:tcW w:w="7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13.08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14.21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15.08</w:t>
            </w:r>
          </w:p>
        </w:tc>
      </w:tr>
      <w:tr w:rsidR="00F2312A" w:rsidTr="00F2312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Before w:val="1"/>
          <w:wBefore w:w="6" w:type="dxa"/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12A" w:rsidRPr="00F2312A" w:rsidRDefault="00F2312A" w:rsidP="009373F5">
            <w:pPr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2011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13.30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11.67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8.55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8.70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9.09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9.09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4.22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8.72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16.53</w:t>
            </w:r>
          </w:p>
        </w:tc>
        <w:tc>
          <w:tcPr>
            <w:tcW w:w="7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16.50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15.47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14.60</w:t>
            </w:r>
          </w:p>
        </w:tc>
      </w:tr>
      <w:tr w:rsidR="00F2312A" w:rsidTr="00F2312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Before w:val="1"/>
          <w:wBefore w:w="6" w:type="dxa"/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12A" w:rsidRPr="00F2312A" w:rsidRDefault="00F2312A" w:rsidP="009373F5">
            <w:pPr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2012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12.89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12.71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12.86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12.70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12.28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12.29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12.29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7.64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-0.03</w:t>
            </w:r>
          </w:p>
        </w:tc>
        <w:tc>
          <w:tcPr>
            <w:tcW w:w="7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2.05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1.95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1.95</w:t>
            </w:r>
          </w:p>
        </w:tc>
      </w:tr>
      <w:tr w:rsidR="00F2312A" w:rsidTr="00F2312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Before w:val="1"/>
          <w:wBefore w:w="6" w:type="dxa"/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12A" w:rsidRPr="00F2312A" w:rsidRDefault="00F2312A" w:rsidP="009373F5">
            <w:pPr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2013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1.86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6.27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8.68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8.99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9.55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10.13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10.36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11.61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12.60</w:t>
            </w:r>
          </w:p>
        </w:tc>
        <w:tc>
          <w:tcPr>
            <w:tcW w:w="7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12.25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14.18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20.80</w:t>
            </w:r>
          </w:p>
        </w:tc>
      </w:tr>
      <w:tr w:rsidR="00F2312A" w:rsidTr="00F2312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Before w:val="1"/>
          <w:wBefore w:w="6" w:type="dxa"/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312A" w:rsidRPr="00F2312A" w:rsidRDefault="00F2312A" w:rsidP="009373F5">
            <w:pPr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2014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22.06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17.31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16.43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16.10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15.59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15.05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14.89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13.79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18.40</w:t>
            </w:r>
          </w:p>
        </w:tc>
        <w:tc>
          <w:tcPr>
            <w:tcW w:w="7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16.47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14.61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11.26</w:t>
            </w:r>
          </w:p>
        </w:tc>
      </w:tr>
      <w:tr w:rsidR="00F2312A" w:rsidTr="00F2312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Before w:val="1"/>
          <w:wBefore w:w="6" w:type="dxa"/>
          <w:trHeight w:val="152"/>
        </w:trPr>
        <w:tc>
          <w:tcPr>
            <w:tcW w:w="6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312A" w:rsidRPr="00F2312A" w:rsidRDefault="00F2312A" w:rsidP="009373F5">
            <w:pPr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2015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10.79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10.80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6.81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7.65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8.44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9.04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9.94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10.15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5.33</w:t>
            </w:r>
          </w:p>
        </w:tc>
        <w:tc>
          <w:tcPr>
            <w:tcW w:w="7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5.34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5.28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2.71</w:t>
            </w:r>
          </w:p>
        </w:tc>
      </w:tr>
      <w:tr w:rsidR="00AB3395" w:rsidTr="00F2312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Before w:val="1"/>
          <w:wBefore w:w="6" w:type="dxa"/>
          <w:trHeight w:val="152"/>
        </w:trPr>
        <w:tc>
          <w:tcPr>
            <w:tcW w:w="6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3395" w:rsidRPr="00F2312A" w:rsidRDefault="00AB3395" w:rsidP="009373F5">
            <w:pPr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2016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395" w:rsidRPr="00F2312A" w:rsidRDefault="00AB3395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2.55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395" w:rsidRPr="00F2312A" w:rsidRDefault="00AB3395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3.08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395" w:rsidRPr="00F2312A" w:rsidRDefault="00AB3395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5.32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395" w:rsidRDefault="00AB3395">
            <w:pPr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4.52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395" w:rsidRDefault="00AB3395">
            <w:pPr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3.87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395" w:rsidRDefault="00AB3395">
            <w:pPr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3.67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395" w:rsidRPr="00F2312A" w:rsidRDefault="00AB3395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395" w:rsidRPr="00F2312A" w:rsidRDefault="00AB3395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395" w:rsidRPr="00F2312A" w:rsidRDefault="00AB3395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7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395" w:rsidRPr="00F2312A" w:rsidRDefault="00AB3395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395" w:rsidRPr="00F2312A" w:rsidRDefault="00AB3395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395" w:rsidRPr="00F2312A" w:rsidRDefault="00AB3395">
            <w:pPr>
              <w:jc w:val="right"/>
              <w:rPr>
                <w:rFonts w:cs="Arial"/>
                <w:sz w:val="18"/>
                <w:szCs w:val="18"/>
              </w:rPr>
            </w:pPr>
          </w:p>
        </w:tc>
      </w:tr>
      <w:tr w:rsidR="00AB3395" w:rsidTr="00F2312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After w:val="4"/>
          <w:wAfter w:w="1701" w:type="dxa"/>
          <w:trHeight w:val="300"/>
        </w:trPr>
        <w:tc>
          <w:tcPr>
            <w:tcW w:w="264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AB3395" w:rsidRDefault="00AB3395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26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3395" w:rsidRDefault="00AB3395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1848" w:type="dxa"/>
            <w:gridSpan w:val="4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AB3395" w:rsidRDefault="00AB3395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1640" w:type="dxa"/>
            <w:gridSpan w:val="3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AB3395" w:rsidRDefault="00AB3395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AB3395" w:rsidRDefault="00AB3395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2707" w:type="dxa"/>
            <w:gridSpan w:val="5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AB3395" w:rsidRDefault="00AB3395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3395" w:rsidRDefault="00AB3395">
            <w:pPr>
              <w:rPr>
                <w:rFonts w:ascii="Calibri" w:hAnsi="Calibri"/>
                <w:color w:val="000000"/>
                <w:szCs w:val="22"/>
              </w:rPr>
            </w:pPr>
          </w:p>
        </w:tc>
      </w:tr>
    </w:tbl>
    <w:tbl>
      <w:tblPr>
        <w:tblpPr w:leftFromText="180" w:rightFromText="180" w:vertAnchor="text" w:horzAnchor="page" w:tblpX="1426" w:tblpY="153"/>
        <w:tblW w:w="9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FFCC"/>
        <w:tblLayout w:type="fixed"/>
        <w:tblLook w:val="01E0"/>
      </w:tblPr>
      <w:tblGrid>
        <w:gridCol w:w="9630"/>
      </w:tblGrid>
      <w:tr w:rsidR="00076E61" w:rsidRPr="00962296" w:rsidTr="00B56DD6">
        <w:trPr>
          <w:trHeight w:val="70"/>
        </w:trPr>
        <w:tc>
          <w:tcPr>
            <w:tcW w:w="9630" w:type="dxa"/>
            <w:shd w:val="clear" w:color="auto" w:fill="CCFFCC"/>
          </w:tcPr>
          <w:p w:rsidR="00076E61" w:rsidRPr="00606CBF" w:rsidRDefault="00076E61" w:rsidP="00B56DD6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606CBF">
              <w:rPr>
                <w:rFonts w:cs="Arial"/>
                <w:b/>
                <w:sz w:val="18"/>
                <w:szCs w:val="18"/>
              </w:rPr>
              <w:t>CONTACTS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>The Gambia Bureau of Statistics (GBOS)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Kanifing Institutional Layout  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  <w:lang w:val="en-US"/>
              </w:rPr>
            </w:pPr>
            <w:r w:rsidRPr="00606CBF">
              <w:rPr>
                <w:rFonts w:cs="Arial"/>
                <w:sz w:val="18"/>
                <w:szCs w:val="18"/>
                <w:lang w:val="en-US"/>
              </w:rPr>
              <w:t>P.O.Box 3504 Serekunda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  <w:lang w:val="en-US"/>
              </w:rPr>
            </w:pPr>
            <w:r w:rsidRPr="00606CBF">
              <w:rPr>
                <w:rFonts w:cs="Arial"/>
                <w:sz w:val="18"/>
                <w:szCs w:val="18"/>
                <w:lang w:val="en-US"/>
              </w:rPr>
              <w:t>Tel. (220) 439 4529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Fax. (220) 437 7848 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 Web site: </w:t>
            </w:r>
            <w:hyperlink r:id="rId9" w:history="1">
              <w:r w:rsidRPr="00606CBF">
                <w:rPr>
                  <w:rStyle w:val="Hyperlink"/>
                  <w:rFonts w:cs="Arial"/>
                  <w:sz w:val="18"/>
                  <w:szCs w:val="18"/>
                </w:rPr>
                <w:t>www.gbos.gm</w:t>
              </w:r>
            </w:hyperlink>
            <w:r w:rsidRPr="00606CBF">
              <w:rPr>
                <w:rFonts w:cs="Arial"/>
                <w:sz w:val="18"/>
                <w:szCs w:val="18"/>
              </w:rPr>
              <w:t xml:space="preserve"> 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>Publication Director:  Mr. Nyakassi  M. B. Sanyang, Statistician- General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Publication Editor: Mr Ousman Dibba, Director Prices and Government Finance Statistics GBOS 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email: </w:t>
            </w:r>
            <w:hyperlink r:id="rId10" w:history="1">
              <w:r w:rsidRPr="00606CBF">
                <w:rPr>
                  <w:rStyle w:val="Hyperlink"/>
                  <w:rFonts w:cs="Arial"/>
                  <w:sz w:val="18"/>
                  <w:szCs w:val="18"/>
                </w:rPr>
                <w:t>ousman_dibba@yahoo.co</w:t>
              </w:r>
            </w:hyperlink>
            <w:r w:rsidRPr="00606CBF">
              <w:rPr>
                <w:rFonts w:cs="Arial"/>
                <w:sz w:val="18"/>
                <w:szCs w:val="18"/>
              </w:rPr>
              <w:t>m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>Statistician in charge of PPI: Mr. Ansu Kanyi, GBOS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email: </w:t>
            </w:r>
            <w:hyperlink r:id="rId11" w:history="1">
              <w:r w:rsidR="00FB76DD" w:rsidRPr="00480217">
                <w:rPr>
                  <w:rStyle w:val="Hyperlink"/>
                  <w:rFonts w:cs="Arial"/>
                  <w:sz w:val="18"/>
                  <w:szCs w:val="18"/>
                </w:rPr>
                <w:t>kanyi.ansu@gmail.com</w:t>
              </w:r>
            </w:hyperlink>
            <w:r w:rsidRPr="00606CBF">
              <w:rPr>
                <w:rFonts w:cs="Arial"/>
                <w:sz w:val="18"/>
                <w:szCs w:val="18"/>
              </w:rPr>
              <w:t xml:space="preserve"> </w:t>
            </w:r>
          </w:p>
        </w:tc>
      </w:tr>
    </w:tbl>
    <w:p w:rsidR="00076E61" w:rsidRDefault="00076E61" w:rsidP="00C9454D">
      <w:pPr>
        <w:pStyle w:val="ListParagraph"/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lang w:val="en-GB"/>
        </w:rPr>
      </w:pPr>
    </w:p>
    <w:sectPr w:rsidR="00076E61" w:rsidSect="00023D64"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1D3A" w:rsidRDefault="000E1D3A" w:rsidP="005563BA">
      <w:r>
        <w:separator/>
      </w:r>
    </w:p>
  </w:endnote>
  <w:endnote w:type="continuationSeparator" w:id="1">
    <w:p w:rsidR="000E1D3A" w:rsidRDefault="000E1D3A" w:rsidP="005563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576400"/>
      <w:docPartObj>
        <w:docPartGallery w:val="Page Numbers (Bottom of Page)"/>
        <w:docPartUnique/>
      </w:docPartObj>
    </w:sdtPr>
    <w:sdtContent>
      <w:p w:rsidR="0090370D" w:rsidRDefault="0090370D">
        <w:pPr>
          <w:pStyle w:val="Footer"/>
        </w:pPr>
        <w:fldSimple w:instr=" PAGE   \* MERGEFORMAT ">
          <w:r w:rsidR="000E1D3A">
            <w:rPr>
              <w:noProof/>
            </w:rPr>
            <w:t>1</w:t>
          </w:r>
        </w:fldSimple>
      </w:p>
    </w:sdtContent>
  </w:sdt>
  <w:p w:rsidR="0090370D" w:rsidRDefault="0090370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1D3A" w:rsidRDefault="000E1D3A" w:rsidP="005563BA">
      <w:r>
        <w:separator/>
      </w:r>
    </w:p>
  </w:footnote>
  <w:footnote w:type="continuationSeparator" w:id="1">
    <w:p w:rsidR="000E1D3A" w:rsidRDefault="000E1D3A" w:rsidP="005563B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B4122F"/>
    <w:rsid w:val="0000116F"/>
    <w:rsid w:val="00023D64"/>
    <w:rsid w:val="000430F8"/>
    <w:rsid w:val="00076E61"/>
    <w:rsid w:val="00091288"/>
    <w:rsid w:val="000A55A0"/>
    <w:rsid w:val="000D55C0"/>
    <w:rsid w:val="000D61F7"/>
    <w:rsid w:val="000E1D3A"/>
    <w:rsid w:val="0011125A"/>
    <w:rsid w:val="00113B6A"/>
    <w:rsid w:val="00146FA8"/>
    <w:rsid w:val="00150CBF"/>
    <w:rsid w:val="0016451C"/>
    <w:rsid w:val="0017373B"/>
    <w:rsid w:val="001967C7"/>
    <w:rsid w:val="001A4150"/>
    <w:rsid w:val="001B4080"/>
    <w:rsid w:val="001B6E8D"/>
    <w:rsid w:val="00215935"/>
    <w:rsid w:val="0023477B"/>
    <w:rsid w:val="00253C36"/>
    <w:rsid w:val="00260A5F"/>
    <w:rsid w:val="00284926"/>
    <w:rsid w:val="00286CF6"/>
    <w:rsid w:val="002A5A00"/>
    <w:rsid w:val="002B0ABD"/>
    <w:rsid w:val="002D0740"/>
    <w:rsid w:val="002E531E"/>
    <w:rsid w:val="00302AA1"/>
    <w:rsid w:val="00311450"/>
    <w:rsid w:val="003238DC"/>
    <w:rsid w:val="00326E99"/>
    <w:rsid w:val="00335651"/>
    <w:rsid w:val="00344886"/>
    <w:rsid w:val="00356F5E"/>
    <w:rsid w:val="003715A8"/>
    <w:rsid w:val="003873FA"/>
    <w:rsid w:val="00395399"/>
    <w:rsid w:val="003B151C"/>
    <w:rsid w:val="003E3041"/>
    <w:rsid w:val="00402700"/>
    <w:rsid w:val="0042583B"/>
    <w:rsid w:val="00443D3E"/>
    <w:rsid w:val="00456B4C"/>
    <w:rsid w:val="00483F3F"/>
    <w:rsid w:val="00493283"/>
    <w:rsid w:val="004A55C4"/>
    <w:rsid w:val="004B314E"/>
    <w:rsid w:val="004D38EE"/>
    <w:rsid w:val="00517F0E"/>
    <w:rsid w:val="00537C8F"/>
    <w:rsid w:val="005437AC"/>
    <w:rsid w:val="00544207"/>
    <w:rsid w:val="00550252"/>
    <w:rsid w:val="00553416"/>
    <w:rsid w:val="005563BA"/>
    <w:rsid w:val="00573990"/>
    <w:rsid w:val="005A20AA"/>
    <w:rsid w:val="00601251"/>
    <w:rsid w:val="00655B36"/>
    <w:rsid w:val="00694A86"/>
    <w:rsid w:val="006C50A4"/>
    <w:rsid w:val="006D0C8A"/>
    <w:rsid w:val="006F1410"/>
    <w:rsid w:val="006F1E37"/>
    <w:rsid w:val="006F43AA"/>
    <w:rsid w:val="006F5A61"/>
    <w:rsid w:val="00710AFD"/>
    <w:rsid w:val="00711987"/>
    <w:rsid w:val="00712316"/>
    <w:rsid w:val="00713590"/>
    <w:rsid w:val="00737154"/>
    <w:rsid w:val="00745EDB"/>
    <w:rsid w:val="007632F0"/>
    <w:rsid w:val="00767A27"/>
    <w:rsid w:val="0077718D"/>
    <w:rsid w:val="00791E3D"/>
    <w:rsid w:val="0079592D"/>
    <w:rsid w:val="007A7541"/>
    <w:rsid w:val="007B5D00"/>
    <w:rsid w:val="007C713E"/>
    <w:rsid w:val="00833A1F"/>
    <w:rsid w:val="00852B33"/>
    <w:rsid w:val="00870804"/>
    <w:rsid w:val="008B741C"/>
    <w:rsid w:val="008C2FA7"/>
    <w:rsid w:val="008F0B0D"/>
    <w:rsid w:val="008F2400"/>
    <w:rsid w:val="00901404"/>
    <w:rsid w:val="0090370D"/>
    <w:rsid w:val="00921452"/>
    <w:rsid w:val="009373F5"/>
    <w:rsid w:val="00946F66"/>
    <w:rsid w:val="009839C8"/>
    <w:rsid w:val="00991F89"/>
    <w:rsid w:val="009A6C12"/>
    <w:rsid w:val="009B0423"/>
    <w:rsid w:val="009B0439"/>
    <w:rsid w:val="009B50EE"/>
    <w:rsid w:val="009C3462"/>
    <w:rsid w:val="009C3497"/>
    <w:rsid w:val="009C4106"/>
    <w:rsid w:val="009C7F60"/>
    <w:rsid w:val="009D5303"/>
    <w:rsid w:val="00A04DE9"/>
    <w:rsid w:val="00A059BC"/>
    <w:rsid w:val="00A1191D"/>
    <w:rsid w:val="00A2674E"/>
    <w:rsid w:val="00A42B4B"/>
    <w:rsid w:val="00A63D00"/>
    <w:rsid w:val="00A826FD"/>
    <w:rsid w:val="00AB3395"/>
    <w:rsid w:val="00AB4445"/>
    <w:rsid w:val="00AB78A4"/>
    <w:rsid w:val="00AD375E"/>
    <w:rsid w:val="00AD5FD2"/>
    <w:rsid w:val="00AF6FE9"/>
    <w:rsid w:val="00B4122F"/>
    <w:rsid w:val="00B42BE4"/>
    <w:rsid w:val="00B56DD6"/>
    <w:rsid w:val="00B65785"/>
    <w:rsid w:val="00B65E13"/>
    <w:rsid w:val="00B713BF"/>
    <w:rsid w:val="00B8508E"/>
    <w:rsid w:val="00B92490"/>
    <w:rsid w:val="00B970CA"/>
    <w:rsid w:val="00BB03DA"/>
    <w:rsid w:val="00BB429C"/>
    <w:rsid w:val="00BC7AB3"/>
    <w:rsid w:val="00BC7D77"/>
    <w:rsid w:val="00BE0ADB"/>
    <w:rsid w:val="00BE462A"/>
    <w:rsid w:val="00BE59EB"/>
    <w:rsid w:val="00BF76A2"/>
    <w:rsid w:val="00C01964"/>
    <w:rsid w:val="00C13E0F"/>
    <w:rsid w:val="00C42174"/>
    <w:rsid w:val="00C45293"/>
    <w:rsid w:val="00C502DE"/>
    <w:rsid w:val="00C75B45"/>
    <w:rsid w:val="00C75EF4"/>
    <w:rsid w:val="00C918B1"/>
    <w:rsid w:val="00C9454D"/>
    <w:rsid w:val="00C95600"/>
    <w:rsid w:val="00CB46DF"/>
    <w:rsid w:val="00CB6FE7"/>
    <w:rsid w:val="00CC08C2"/>
    <w:rsid w:val="00CE0B7F"/>
    <w:rsid w:val="00CF4CEE"/>
    <w:rsid w:val="00D00B95"/>
    <w:rsid w:val="00D25532"/>
    <w:rsid w:val="00D33C0D"/>
    <w:rsid w:val="00D5024E"/>
    <w:rsid w:val="00D53D01"/>
    <w:rsid w:val="00D9137B"/>
    <w:rsid w:val="00D97416"/>
    <w:rsid w:val="00DA7A8D"/>
    <w:rsid w:val="00DA7F86"/>
    <w:rsid w:val="00DD570F"/>
    <w:rsid w:val="00DF202D"/>
    <w:rsid w:val="00E10F8C"/>
    <w:rsid w:val="00E36AC4"/>
    <w:rsid w:val="00E65096"/>
    <w:rsid w:val="00E6619F"/>
    <w:rsid w:val="00E662E6"/>
    <w:rsid w:val="00E729AC"/>
    <w:rsid w:val="00E803C4"/>
    <w:rsid w:val="00EB1450"/>
    <w:rsid w:val="00F034BC"/>
    <w:rsid w:val="00F0407E"/>
    <w:rsid w:val="00F049D3"/>
    <w:rsid w:val="00F204FE"/>
    <w:rsid w:val="00F2312A"/>
    <w:rsid w:val="00F31D2C"/>
    <w:rsid w:val="00F321D3"/>
    <w:rsid w:val="00F446E4"/>
    <w:rsid w:val="00F72A4E"/>
    <w:rsid w:val="00F8029C"/>
    <w:rsid w:val="00F8182F"/>
    <w:rsid w:val="00FB5F2A"/>
    <w:rsid w:val="00FB7414"/>
    <w:rsid w:val="00FB76DD"/>
    <w:rsid w:val="00FC7AB8"/>
    <w:rsid w:val="00FE2EA3"/>
    <w:rsid w:val="00FE4703"/>
    <w:rsid w:val="00FE7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225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122F"/>
    <w:pPr>
      <w:spacing w:after="0" w:line="240" w:lineRule="auto"/>
    </w:pPr>
    <w:rPr>
      <w:rFonts w:ascii="Arial" w:eastAsia="Times New Roman" w:hAnsi="Arial" w:cs="Times New Roman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12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122F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B412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3B151C"/>
    <w:pPr>
      <w:spacing w:after="200" w:line="276" w:lineRule="auto"/>
      <w:ind w:left="720"/>
      <w:contextualSpacing/>
    </w:pPr>
    <w:rPr>
      <w:rFonts w:ascii="Calibri" w:eastAsia="Calibri" w:hAnsi="Calibri"/>
      <w:szCs w:val="22"/>
      <w:lang w:val="en-US"/>
    </w:rPr>
  </w:style>
  <w:style w:type="character" w:styleId="Hyperlink">
    <w:name w:val="Hyperlink"/>
    <w:basedOn w:val="DefaultParagraphFont"/>
    <w:rsid w:val="003B151C"/>
    <w:rPr>
      <w:color w:val="0000FF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921452"/>
    <w:pPr>
      <w:spacing w:after="200"/>
    </w:pPr>
    <w:rPr>
      <w:b/>
      <w:bCs/>
      <w:color w:val="4F81BD" w:themeColor="accent1"/>
      <w:sz w:val="18"/>
      <w:szCs w:val="18"/>
    </w:rPr>
  </w:style>
  <w:style w:type="paragraph" w:styleId="Header">
    <w:name w:val="header"/>
    <w:basedOn w:val="Normal"/>
    <w:link w:val="HeaderChar"/>
    <w:uiPriority w:val="99"/>
    <w:semiHidden/>
    <w:unhideWhenUsed/>
    <w:rsid w:val="005563B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563BA"/>
    <w:rPr>
      <w:rFonts w:ascii="Arial" w:eastAsia="Times New Roman" w:hAnsi="Arial" w:cs="Times New Roman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5563B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63BA"/>
    <w:rPr>
      <w:rFonts w:ascii="Arial" w:eastAsia="Times New Roman" w:hAnsi="Arial" w:cs="Times New Roman"/>
      <w:szCs w:val="20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2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8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7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7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1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0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0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kanyi.ansu@gmail.com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ousman_dibba@yahoo.c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bos.g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8F7B82-22CA-4DEF-B9C8-B60AE681C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4475797</TotalTime>
  <Pages>2</Pages>
  <Words>898</Words>
  <Characters>5123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Kanyi</dc:creator>
  <cp:lastModifiedBy>Kanyi</cp:lastModifiedBy>
  <cp:revision>135</cp:revision>
  <dcterms:created xsi:type="dcterms:W3CDTF">2015-11-09T17:20:00Z</dcterms:created>
  <dcterms:modified xsi:type="dcterms:W3CDTF">2009-04-16T23:46:00Z</dcterms:modified>
</cp:coreProperties>
</file>