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2F" w:rsidRDefault="00B4122F" w:rsidP="00B4122F"/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5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63"/>
      </w:tblGrid>
      <w:tr w:rsidR="00B4122F" w:rsidRPr="00962296" w:rsidTr="00920C46">
        <w:trPr>
          <w:trHeight w:val="782"/>
        </w:trPr>
        <w:tc>
          <w:tcPr>
            <w:tcW w:w="5863" w:type="dxa"/>
          </w:tcPr>
          <w:p w:rsidR="00B4122F" w:rsidRPr="00962296" w:rsidRDefault="00B4122F" w:rsidP="00920C4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GAMBIA PRODUCER</w:t>
            </w:r>
            <w:r w:rsidRPr="00962296">
              <w:rPr>
                <w:b/>
                <w:sz w:val="28"/>
                <w:szCs w:val="28"/>
              </w:rPr>
              <w:t xml:space="preserve"> PRICE INDEX (</w:t>
            </w:r>
            <w:r>
              <w:rPr>
                <w:b/>
                <w:sz w:val="28"/>
                <w:szCs w:val="28"/>
              </w:rPr>
              <w:t>P</w:t>
            </w:r>
            <w:r w:rsidRPr="00962296">
              <w:rPr>
                <w:b/>
                <w:sz w:val="28"/>
                <w:szCs w:val="28"/>
              </w:rPr>
              <w:t>PI)</w:t>
            </w:r>
            <w:r w:rsidR="00920C46">
              <w:rPr>
                <w:b/>
                <w:sz w:val="28"/>
                <w:szCs w:val="28"/>
              </w:rPr>
              <w:t xml:space="preserve"> QUARTERLY REPORT, MARCH</w:t>
            </w:r>
            <w:r w:rsidR="007E4649">
              <w:rPr>
                <w:b/>
                <w:sz w:val="28"/>
                <w:szCs w:val="28"/>
              </w:rPr>
              <w:t xml:space="preserve"> 201</w:t>
            </w:r>
            <w:r w:rsidR="00920C46">
              <w:rPr>
                <w:b/>
                <w:sz w:val="28"/>
                <w:szCs w:val="28"/>
              </w:rPr>
              <w:t>8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F2E75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FC140D" w:rsidRPr="00256754" w:rsidRDefault="00FC140D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BF2E75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>
          <v:shape id="_x0000_s1027" type="#_x0000_t202" style="position:absolute;left:0;text-align:left;margin-left:-36pt;margin-top:3.8pt;width:117pt;height:18pt;z-index:251661312" wrapcoords="-150 0 -150 20700 21600 20700 21600 0 -150 0" stroked="f">
            <v:textbox style="mso-next-textbox:#_x0000_s1027">
              <w:txbxContent>
                <w:p w:rsidR="00FC140D" w:rsidRPr="00642379" w:rsidRDefault="00FC140D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tbl>
      <w:tblPr>
        <w:tblW w:w="10170" w:type="dxa"/>
        <w:tblInd w:w="-4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CCFFCC"/>
        <w:tblLook w:val="01E0"/>
      </w:tblPr>
      <w:tblGrid>
        <w:gridCol w:w="10170"/>
      </w:tblGrid>
      <w:tr w:rsidR="00B4122F" w:rsidRPr="00962296" w:rsidTr="0021023E">
        <w:trPr>
          <w:trHeight w:val="447"/>
        </w:trPr>
        <w:tc>
          <w:tcPr>
            <w:tcW w:w="10170" w:type="dxa"/>
            <w:shd w:val="clear" w:color="auto" w:fill="CCFFCC"/>
          </w:tcPr>
          <w:p w:rsidR="00DD2AD2" w:rsidRDefault="00DD2AD2" w:rsidP="00DD2AD2">
            <w:pPr>
              <w:jc w:val="both"/>
              <w:rPr>
                <w:rFonts w:ascii="Arial Narrow" w:hAnsi="Arial Narrow"/>
                <w:szCs w:val="22"/>
              </w:rPr>
            </w:pPr>
            <w:r w:rsidRPr="00962296">
              <w:rPr>
                <w:rFonts w:ascii="Arial Narrow" w:hAnsi="Arial Narrow"/>
                <w:szCs w:val="22"/>
              </w:rPr>
              <w:t>Th</w:t>
            </w:r>
            <w:r w:rsidR="00D50DC2">
              <w:rPr>
                <w:rFonts w:ascii="Arial Narrow" w:hAnsi="Arial Narrow"/>
                <w:szCs w:val="22"/>
              </w:rPr>
              <w:t>e Gambia Bureau of Statistics is</w:t>
            </w:r>
            <w:r w:rsidRPr="00962296">
              <w:rPr>
                <w:rFonts w:ascii="Arial Narrow" w:hAnsi="Arial Narrow"/>
                <w:szCs w:val="22"/>
              </w:rPr>
              <w:t xml:space="preserve"> ple</w:t>
            </w:r>
            <w:r>
              <w:rPr>
                <w:rFonts w:ascii="Arial Narrow" w:hAnsi="Arial Narrow"/>
                <w:szCs w:val="22"/>
              </w:rPr>
              <w:t xml:space="preserve">ased to deliver to users 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  <w:r>
              <w:rPr>
                <w:rFonts w:ascii="Arial Narrow" w:hAnsi="Arial Narrow"/>
                <w:szCs w:val="22"/>
              </w:rPr>
              <w:t>Producer</w:t>
            </w:r>
            <w:r w:rsidRPr="00962296">
              <w:rPr>
                <w:rFonts w:ascii="Arial Narrow" w:hAnsi="Arial Narrow"/>
                <w:szCs w:val="22"/>
              </w:rPr>
              <w:t xml:space="preserve"> Price Index (</w:t>
            </w:r>
            <w:r>
              <w:rPr>
                <w:rFonts w:ascii="Arial Narrow" w:hAnsi="Arial Narrow"/>
                <w:szCs w:val="22"/>
              </w:rPr>
              <w:t xml:space="preserve">PPI)  </w:t>
            </w:r>
            <w:r w:rsidR="00D50DC2">
              <w:rPr>
                <w:rFonts w:ascii="Arial Narrow" w:hAnsi="Arial Narrow"/>
                <w:szCs w:val="22"/>
              </w:rPr>
              <w:t>(</w:t>
            </w:r>
            <w:r>
              <w:rPr>
                <w:rFonts w:ascii="Arial Narrow" w:hAnsi="Arial Narrow"/>
                <w:szCs w:val="22"/>
              </w:rPr>
              <w:t>September 2017 = 100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  <w:r w:rsidR="00D50DC2">
              <w:rPr>
                <w:rFonts w:ascii="Arial Narrow" w:hAnsi="Arial Narrow"/>
                <w:szCs w:val="22"/>
              </w:rPr>
              <w:t>)</w:t>
            </w:r>
          </w:p>
          <w:p w:rsidR="00DD2AD2" w:rsidRDefault="00DD2AD2" w:rsidP="00DD2AD2">
            <w:pPr>
              <w:jc w:val="both"/>
              <w:rPr>
                <w:rFonts w:ascii="Arial Narrow" w:hAnsi="Arial Narrow"/>
                <w:szCs w:val="22"/>
              </w:rPr>
            </w:pPr>
          </w:p>
          <w:p w:rsidR="00DD2AD2" w:rsidRDefault="009E63BB" w:rsidP="00DD2AD2">
            <w:pPr>
              <w:jc w:val="both"/>
              <w:rPr>
                <w:rFonts w:ascii="Arial Narrow" w:hAnsi="Arial Narrow"/>
                <w:b/>
                <w:szCs w:val="22"/>
              </w:rPr>
            </w:pPr>
            <w:r>
              <w:rPr>
                <w:rFonts w:ascii="Arial Narrow" w:hAnsi="Arial Narrow"/>
                <w:b/>
                <w:szCs w:val="22"/>
              </w:rPr>
              <w:t xml:space="preserve">                   </w:t>
            </w:r>
            <w:r w:rsidR="00DD2AD2" w:rsidRPr="00962296">
              <w:rPr>
                <w:rFonts w:ascii="Arial Narrow" w:hAnsi="Arial Narrow"/>
                <w:b/>
                <w:szCs w:val="22"/>
              </w:rPr>
              <w:t xml:space="preserve">The </w:t>
            </w:r>
            <w:r w:rsidR="00DD2AD2">
              <w:rPr>
                <w:rFonts w:ascii="Arial Narrow" w:hAnsi="Arial Narrow"/>
                <w:b/>
                <w:szCs w:val="22"/>
              </w:rPr>
              <w:t>P</w:t>
            </w:r>
            <w:r w:rsidR="00DD2AD2" w:rsidRPr="00962296">
              <w:rPr>
                <w:rFonts w:ascii="Arial Narrow" w:hAnsi="Arial Narrow"/>
                <w:b/>
                <w:szCs w:val="22"/>
              </w:rPr>
              <w:t>PI is published every</w:t>
            </w:r>
            <w:r w:rsidR="00DD2AD2">
              <w:rPr>
                <w:rFonts w:ascii="Arial Narrow" w:hAnsi="Arial Narrow"/>
                <w:b/>
                <w:szCs w:val="22"/>
              </w:rPr>
              <w:t xml:space="preserve"> Quarter </w:t>
            </w:r>
            <w:r w:rsidR="00DD2AD2" w:rsidRPr="00962296">
              <w:rPr>
                <w:rFonts w:ascii="Arial Narrow" w:hAnsi="Arial Narrow"/>
                <w:b/>
                <w:szCs w:val="22"/>
              </w:rPr>
              <w:t xml:space="preserve">by the </w:t>
            </w:r>
            <w:r w:rsidR="00DD2AD2">
              <w:rPr>
                <w:rFonts w:ascii="Arial Narrow" w:hAnsi="Arial Narrow"/>
                <w:b/>
                <w:szCs w:val="22"/>
              </w:rPr>
              <w:t xml:space="preserve">middle of the first month of the following quarter. </w:t>
            </w:r>
          </w:p>
          <w:p w:rsidR="00B4122F" w:rsidRPr="00962296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</w:tc>
      </w:tr>
    </w:tbl>
    <w:p w:rsidR="00076E61" w:rsidRDefault="00076E61" w:rsidP="0067591F">
      <w:pPr>
        <w:rPr>
          <w:rFonts w:cs="Arial"/>
        </w:rPr>
      </w:pPr>
    </w:p>
    <w:tbl>
      <w:tblPr>
        <w:tblStyle w:val="TableGrid"/>
        <w:tblW w:w="11520" w:type="dxa"/>
        <w:tblInd w:w="-972" w:type="dxa"/>
        <w:tblLayout w:type="fixed"/>
        <w:tblLook w:val="04A0"/>
      </w:tblPr>
      <w:tblGrid>
        <w:gridCol w:w="3960"/>
        <w:gridCol w:w="900"/>
        <w:gridCol w:w="810"/>
        <w:gridCol w:w="810"/>
        <w:gridCol w:w="810"/>
        <w:gridCol w:w="810"/>
        <w:gridCol w:w="810"/>
        <w:gridCol w:w="810"/>
        <w:gridCol w:w="810"/>
        <w:gridCol w:w="990"/>
      </w:tblGrid>
      <w:tr w:rsidR="005344B1" w:rsidRPr="00B269EE" w:rsidTr="00043525">
        <w:tc>
          <w:tcPr>
            <w:tcW w:w="3960" w:type="dxa"/>
          </w:tcPr>
          <w:p w:rsidR="0067591F" w:rsidRPr="00B269EE" w:rsidRDefault="0067591F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900" w:type="dxa"/>
          </w:tcPr>
          <w:p w:rsidR="0067591F" w:rsidRPr="009E63BB" w:rsidRDefault="00FD2C54" w:rsidP="0067591F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E63BB">
              <w:rPr>
                <w:rFonts w:asciiTheme="minorHAnsi" w:hAnsiTheme="minorHAnsi" w:cs="Arial"/>
                <w:b/>
                <w:sz w:val="18"/>
                <w:szCs w:val="18"/>
              </w:rPr>
              <w:t>Weights</w:t>
            </w:r>
          </w:p>
        </w:tc>
        <w:tc>
          <w:tcPr>
            <w:tcW w:w="810" w:type="dxa"/>
          </w:tcPr>
          <w:p w:rsidR="0067591F" w:rsidRPr="00B269EE" w:rsidRDefault="00FD2C54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Sep-2017</w:t>
            </w:r>
          </w:p>
        </w:tc>
        <w:tc>
          <w:tcPr>
            <w:tcW w:w="810" w:type="dxa"/>
          </w:tcPr>
          <w:p w:rsidR="0067591F" w:rsidRPr="00B269EE" w:rsidRDefault="00FD2C54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Oct-2017</w:t>
            </w:r>
          </w:p>
        </w:tc>
        <w:tc>
          <w:tcPr>
            <w:tcW w:w="810" w:type="dxa"/>
          </w:tcPr>
          <w:p w:rsidR="0067591F" w:rsidRPr="00B269EE" w:rsidRDefault="00FD2C54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Non-2017</w:t>
            </w:r>
          </w:p>
        </w:tc>
        <w:tc>
          <w:tcPr>
            <w:tcW w:w="810" w:type="dxa"/>
          </w:tcPr>
          <w:p w:rsidR="0067591F" w:rsidRPr="00B269EE" w:rsidRDefault="00FD2C54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Dec-2017</w:t>
            </w:r>
          </w:p>
        </w:tc>
        <w:tc>
          <w:tcPr>
            <w:tcW w:w="810" w:type="dxa"/>
          </w:tcPr>
          <w:p w:rsidR="0067591F" w:rsidRPr="009E63BB" w:rsidRDefault="00FD2C54" w:rsidP="0067591F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E63BB">
              <w:rPr>
                <w:rFonts w:asciiTheme="minorHAnsi" w:hAnsiTheme="minorHAnsi" w:cs="Arial"/>
                <w:b/>
                <w:sz w:val="18"/>
                <w:szCs w:val="18"/>
              </w:rPr>
              <w:t>Jan-2018</w:t>
            </w:r>
          </w:p>
        </w:tc>
        <w:tc>
          <w:tcPr>
            <w:tcW w:w="810" w:type="dxa"/>
          </w:tcPr>
          <w:p w:rsidR="0067591F" w:rsidRPr="00B269EE" w:rsidRDefault="00FD2C54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Feb-2018</w:t>
            </w:r>
          </w:p>
        </w:tc>
        <w:tc>
          <w:tcPr>
            <w:tcW w:w="810" w:type="dxa"/>
          </w:tcPr>
          <w:p w:rsidR="0067591F" w:rsidRPr="00B269EE" w:rsidRDefault="00FD2C54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Mar-2018</w:t>
            </w:r>
          </w:p>
        </w:tc>
        <w:tc>
          <w:tcPr>
            <w:tcW w:w="990" w:type="dxa"/>
          </w:tcPr>
          <w:p w:rsidR="0067591F" w:rsidRPr="009E63BB" w:rsidRDefault="00FD2C54" w:rsidP="0067591F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E63BB">
              <w:rPr>
                <w:rFonts w:asciiTheme="minorHAnsi" w:hAnsiTheme="minorHAnsi" w:cs="Arial"/>
                <w:b/>
                <w:sz w:val="18"/>
                <w:szCs w:val="18"/>
              </w:rPr>
              <w:t>Quarterly Inflation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All items Index</w:t>
            </w:r>
          </w:p>
        </w:tc>
        <w:tc>
          <w:tcPr>
            <w:tcW w:w="90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100.05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100.20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100.31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100.51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100.70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100.88</w:t>
            </w:r>
          </w:p>
        </w:tc>
        <w:tc>
          <w:tcPr>
            <w:tcW w:w="99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0.51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Stone Index</w:t>
            </w:r>
          </w:p>
        </w:tc>
        <w:tc>
          <w:tcPr>
            <w:tcW w:w="90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1.43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103.49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104.41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106.25</w:t>
            </w:r>
          </w:p>
        </w:tc>
        <w:tc>
          <w:tcPr>
            <w:tcW w:w="99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4.72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Sand Index</w:t>
            </w:r>
          </w:p>
        </w:tc>
        <w:tc>
          <w:tcPr>
            <w:tcW w:w="90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Processed and preserved fish Index</w:t>
            </w:r>
          </w:p>
        </w:tc>
        <w:tc>
          <w:tcPr>
            <w:tcW w:w="90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8.66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100.59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102.28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103.53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104.21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104.75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105.41</w:t>
            </w:r>
          </w:p>
        </w:tc>
        <w:tc>
          <w:tcPr>
            <w:tcW w:w="99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2.60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B8009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Nuts, vegetable, animal oil and fats  Index</w:t>
            </w:r>
          </w:p>
        </w:tc>
        <w:tc>
          <w:tcPr>
            <w:tcW w:w="90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101.32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101.72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101.90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108.50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107.59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107.55</w:t>
            </w:r>
          </w:p>
        </w:tc>
        <w:tc>
          <w:tcPr>
            <w:tcW w:w="99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6.14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Diary product S Index</w:t>
            </w:r>
          </w:p>
        </w:tc>
        <w:tc>
          <w:tcPr>
            <w:tcW w:w="90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Grain mill Product Index</w:t>
            </w:r>
          </w:p>
        </w:tc>
        <w:tc>
          <w:tcPr>
            <w:tcW w:w="90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0.58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</w:tr>
      <w:tr w:rsidR="00043525" w:rsidRPr="00B269EE" w:rsidTr="00043525">
        <w:trPr>
          <w:trHeight w:val="260"/>
        </w:trPr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Bakery Products Index</w:t>
            </w:r>
          </w:p>
        </w:tc>
        <w:tc>
          <w:tcPr>
            <w:tcW w:w="90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12.40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100.15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100.15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100.15</w:t>
            </w:r>
          </w:p>
        </w:tc>
        <w:tc>
          <w:tcPr>
            <w:tcW w:w="99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0.15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Other foods products  n. e. c. Index</w:t>
            </w:r>
          </w:p>
        </w:tc>
        <w:tc>
          <w:tcPr>
            <w:tcW w:w="90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1.47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Prepared animal feed Index</w:t>
            </w:r>
          </w:p>
        </w:tc>
        <w:tc>
          <w:tcPr>
            <w:tcW w:w="90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2.44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Beverages Index</w:t>
            </w:r>
          </w:p>
        </w:tc>
        <w:tc>
          <w:tcPr>
            <w:tcW w:w="90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Soft drinks  and mineral water Index</w:t>
            </w:r>
          </w:p>
        </w:tc>
        <w:tc>
          <w:tcPr>
            <w:tcW w:w="90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17.60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Clothing Index</w:t>
            </w:r>
          </w:p>
        </w:tc>
        <w:tc>
          <w:tcPr>
            <w:tcW w:w="90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29.87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100.15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100.22</w:t>
            </w:r>
          </w:p>
        </w:tc>
        <w:tc>
          <w:tcPr>
            <w:tcW w:w="99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0.12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Leather and related products Index</w:t>
            </w:r>
          </w:p>
        </w:tc>
        <w:tc>
          <w:tcPr>
            <w:tcW w:w="90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101.10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102.57</w:t>
            </w:r>
          </w:p>
        </w:tc>
        <w:tc>
          <w:tcPr>
            <w:tcW w:w="99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1.22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Wood products Index</w:t>
            </w:r>
          </w:p>
        </w:tc>
        <w:tc>
          <w:tcPr>
            <w:tcW w:w="90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101.80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101.93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102.19</w:t>
            </w:r>
          </w:p>
        </w:tc>
        <w:tc>
          <w:tcPr>
            <w:tcW w:w="99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1.98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Printing service activities ,related to printing Index</w:t>
            </w:r>
          </w:p>
        </w:tc>
        <w:tc>
          <w:tcPr>
            <w:tcW w:w="90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2.15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Fuel for Industrial Index</w:t>
            </w:r>
          </w:p>
        </w:tc>
        <w:tc>
          <w:tcPr>
            <w:tcW w:w="90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1.13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Soap, detergents, cleaning and polishing preparation Index</w:t>
            </w:r>
          </w:p>
        </w:tc>
        <w:tc>
          <w:tcPr>
            <w:tcW w:w="90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2.49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Other non-metallic mineral products Index</w:t>
            </w:r>
          </w:p>
        </w:tc>
        <w:tc>
          <w:tcPr>
            <w:tcW w:w="90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100.98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102.30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99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2.08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Metal products Index</w:t>
            </w:r>
          </w:p>
        </w:tc>
        <w:tc>
          <w:tcPr>
            <w:tcW w:w="90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8.16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Other fabricated metal product n. e. c. Index</w:t>
            </w:r>
          </w:p>
        </w:tc>
        <w:tc>
          <w:tcPr>
            <w:tcW w:w="90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100.67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101.34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102.69</w:t>
            </w:r>
          </w:p>
        </w:tc>
        <w:tc>
          <w:tcPr>
            <w:tcW w:w="99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1.57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Furniture  Index</w:t>
            </w:r>
          </w:p>
        </w:tc>
        <w:tc>
          <w:tcPr>
            <w:tcW w:w="90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7.46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100.64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101.79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102.73</w:t>
            </w:r>
          </w:p>
        </w:tc>
        <w:tc>
          <w:tcPr>
            <w:tcW w:w="99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1.72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Ornaments Index</w:t>
            </w:r>
          </w:p>
        </w:tc>
        <w:tc>
          <w:tcPr>
            <w:tcW w:w="90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810" w:type="dxa"/>
            <w:vAlign w:val="bottom"/>
          </w:tcPr>
          <w:p w:rsidR="00043525" w:rsidRPr="00730B21" w:rsidRDefault="0004352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30B21">
              <w:rPr>
                <w:rFonts w:ascii="Calibri" w:hAnsi="Calibr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730B21" w:rsidRDefault="0004352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30B21">
              <w:rPr>
                <w:rFonts w:ascii="Calibri" w:hAnsi="Calibr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730B21" w:rsidRDefault="0004352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30B21">
              <w:rPr>
                <w:rFonts w:ascii="Calibri" w:hAnsi="Calibr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730B21" w:rsidRDefault="0004352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30B21">
              <w:rPr>
                <w:rFonts w:ascii="Calibri" w:hAnsi="Calibr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730B21" w:rsidRDefault="0004352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30B21">
              <w:rPr>
                <w:rFonts w:ascii="Calibri" w:hAnsi="Calibr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730B21" w:rsidRDefault="0004352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30B21">
              <w:rPr>
                <w:rFonts w:ascii="Calibri" w:hAnsi="Calibr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730B21" w:rsidRDefault="0004352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30B21">
              <w:rPr>
                <w:rFonts w:ascii="Calibri" w:hAnsi="Calibr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990" w:type="dxa"/>
            <w:vAlign w:val="bottom"/>
          </w:tcPr>
          <w:p w:rsidR="00043525" w:rsidRPr="00730B21" w:rsidRDefault="0004352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30B21">
              <w:rPr>
                <w:rFonts w:ascii="Calibri" w:hAnsi="Calibri"/>
                <w:color w:val="000000"/>
                <w:sz w:val="18"/>
                <w:szCs w:val="18"/>
              </w:rPr>
              <w:t>0.00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Repair of electrical equipments</w:t>
            </w:r>
          </w:p>
        </w:tc>
        <w:tc>
          <w:tcPr>
            <w:tcW w:w="90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043525" w:rsidRPr="00B269EE" w:rsidTr="00043525">
        <w:tc>
          <w:tcPr>
            <w:tcW w:w="3960" w:type="dxa"/>
            <w:tcBorders>
              <w:bottom w:val="single" w:sz="4" w:space="0" w:color="auto"/>
            </w:tcBorders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Repair of transport equipments except motor vehicle Index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bottom"/>
          </w:tcPr>
          <w:p w:rsidR="00043525" w:rsidRDefault="0004352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</w:tr>
      <w:tr w:rsidR="00043525" w:rsidRPr="00B269EE" w:rsidTr="00043525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3525" w:rsidRPr="009E63BB" w:rsidRDefault="00043525" w:rsidP="0067591F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3525" w:rsidRPr="005344B1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3525" w:rsidRPr="00EB538A" w:rsidRDefault="00043525" w:rsidP="0067591F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3525" w:rsidRPr="005344B1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3525" w:rsidRPr="005344B1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3525" w:rsidRPr="009E63BB" w:rsidRDefault="00043525" w:rsidP="0067591F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3525" w:rsidRPr="005344B1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3525" w:rsidRPr="005344B1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All items Index</w:t>
            </w:r>
          </w:p>
        </w:tc>
        <w:tc>
          <w:tcPr>
            <w:tcW w:w="900" w:type="dxa"/>
            <w:vAlign w:val="bottom"/>
          </w:tcPr>
          <w:p w:rsidR="00043525" w:rsidRPr="009E63BB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E63B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EB538A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EB538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100.05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100.20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100.31</w:t>
            </w:r>
          </w:p>
        </w:tc>
        <w:tc>
          <w:tcPr>
            <w:tcW w:w="810" w:type="dxa"/>
            <w:vAlign w:val="bottom"/>
          </w:tcPr>
          <w:p w:rsidR="00043525" w:rsidRPr="009E63BB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E63B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100.51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100.70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100.88</w:t>
            </w:r>
          </w:p>
        </w:tc>
        <w:tc>
          <w:tcPr>
            <w:tcW w:w="990" w:type="dxa"/>
            <w:vAlign w:val="bottom"/>
          </w:tcPr>
          <w:p w:rsidR="00043525" w:rsidRPr="00CB2530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CB2530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0.51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Monthly changes</w:t>
            </w:r>
          </w:p>
        </w:tc>
        <w:tc>
          <w:tcPr>
            <w:tcW w:w="900" w:type="dxa"/>
            <w:vAlign w:val="bottom"/>
          </w:tcPr>
          <w:p w:rsidR="00043525" w:rsidRPr="009E63BB" w:rsidRDefault="00043525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E63B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-1.17</w:t>
            </w:r>
          </w:p>
        </w:tc>
        <w:tc>
          <w:tcPr>
            <w:tcW w:w="810" w:type="dxa"/>
            <w:vAlign w:val="bottom"/>
          </w:tcPr>
          <w:p w:rsidR="00043525" w:rsidRPr="00EB538A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EB538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0.05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0.15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0.11</w:t>
            </w:r>
          </w:p>
        </w:tc>
        <w:tc>
          <w:tcPr>
            <w:tcW w:w="810" w:type="dxa"/>
            <w:vAlign w:val="bottom"/>
          </w:tcPr>
          <w:p w:rsidR="00043525" w:rsidRPr="009E63BB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E63B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0.20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0.19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0.18</w:t>
            </w:r>
          </w:p>
        </w:tc>
        <w:tc>
          <w:tcPr>
            <w:tcW w:w="990" w:type="dxa"/>
            <w:vAlign w:val="bottom"/>
          </w:tcPr>
          <w:p w:rsidR="00043525" w:rsidRPr="00CB2530" w:rsidRDefault="00043525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CB2530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 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Food Index</w:t>
            </w:r>
          </w:p>
        </w:tc>
        <w:tc>
          <w:tcPr>
            <w:tcW w:w="900" w:type="dxa"/>
            <w:vAlign w:val="bottom"/>
          </w:tcPr>
          <w:p w:rsidR="00043525" w:rsidRPr="009E63BB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E63B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25.83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EB538A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EB538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100.20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100.77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101.19</w:t>
            </w:r>
          </w:p>
        </w:tc>
        <w:tc>
          <w:tcPr>
            <w:tcW w:w="810" w:type="dxa"/>
            <w:vAlign w:val="bottom"/>
          </w:tcPr>
          <w:p w:rsidR="00043525" w:rsidRPr="009E63BB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E63B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101.52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101.70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101.92</w:t>
            </w:r>
          </w:p>
        </w:tc>
        <w:tc>
          <w:tcPr>
            <w:tcW w:w="990" w:type="dxa"/>
            <w:vAlign w:val="bottom"/>
          </w:tcPr>
          <w:p w:rsidR="00043525" w:rsidRPr="00CB2530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CB2530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0.98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Drinks Index</w:t>
            </w:r>
          </w:p>
        </w:tc>
        <w:tc>
          <w:tcPr>
            <w:tcW w:w="900" w:type="dxa"/>
            <w:vAlign w:val="bottom"/>
          </w:tcPr>
          <w:p w:rsidR="00043525" w:rsidRPr="009E63BB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E63B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17.95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EB538A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EB538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9E63BB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E63B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990" w:type="dxa"/>
            <w:vAlign w:val="bottom"/>
          </w:tcPr>
          <w:p w:rsidR="00043525" w:rsidRPr="00CB2530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CB2530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0.00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Non-food Index</w:t>
            </w:r>
          </w:p>
        </w:tc>
        <w:tc>
          <w:tcPr>
            <w:tcW w:w="900" w:type="dxa"/>
            <w:vAlign w:val="bottom"/>
          </w:tcPr>
          <w:p w:rsidR="00043525" w:rsidRPr="009E63BB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E63B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53.30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EB538A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EB538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9E63BB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E63B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100.12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100.38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100.56</w:t>
            </w:r>
          </w:p>
        </w:tc>
        <w:tc>
          <w:tcPr>
            <w:tcW w:w="990" w:type="dxa"/>
            <w:vAlign w:val="bottom"/>
          </w:tcPr>
          <w:p w:rsidR="00043525" w:rsidRPr="00CB2530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CB2530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0.35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Industrial service Index</w:t>
            </w:r>
          </w:p>
        </w:tc>
        <w:tc>
          <w:tcPr>
            <w:tcW w:w="900" w:type="dxa"/>
            <w:vAlign w:val="bottom"/>
          </w:tcPr>
          <w:p w:rsidR="00043525" w:rsidRPr="009E63BB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E63B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0.88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EB538A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EB538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9E63BB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E63B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990" w:type="dxa"/>
            <w:vAlign w:val="bottom"/>
          </w:tcPr>
          <w:p w:rsidR="00043525" w:rsidRPr="00CB2530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CB2530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0.00</w:t>
            </w:r>
          </w:p>
        </w:tc>
      </w:tr>
      <w:tr w:rsidR="00043525" w:rsidRPr="00B269EE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B269EE">
              <w:rPr>
                <w:rFonts w:asciiTheme="minorHAnsi" w:hAnsiTheme="minorHAnsi" w:cs="Arial"/>
                <w:sz w:val="18"/>
                <w:szCs w:val="18"/>
              </w:rPr>
              <w:t>Quarrying of stone and sand Index</w:t>
            </w:r>
          </w:p>
        </w:tc>
        <w:tc>
          <w:tcPr>
            <w:tcW w:w="900" w:type="dxa"/>
            <w:vAlign w:val="bottom"/>
          </w:tcPr>
          <w:p w:rsidR="00043525" w:rsidRPr="009E63BB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E63B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2.05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EB538A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EB538A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043525" w:rsidRPr="009E63BB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E63B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102.44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103.09</w:t>
            </w:r>
          </w:p>
        </w:tc>
        <w:tc>
          <w:tcPr>
            <w:tcW w:w="810" w:type="dxa"/>
            <w:vAlign w:val="bottom"/>
          </w:tcPr>
          <w:p w:rsidR="00043525" w:rsidRPr="005344B1" w:rsidRDefault="00043525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5344B1">
              <w:rPr>
                <w:rFonts w:asciiTheme="minorHAnsi" w:hAnsiTheme="minorHAnsi"/>
                <w:color w:val="000000"/>
                <w:sz w:val="18"/>
                <w:szCs w:val="18"/>
              </w:rPr>
              <w:t>104.38</w:t>
            </w:r>
          </w:p>
        </w:tc>
        <w:tc>
          <w:tcPr>
            <w:tcW w:w="990" w:type="dxa"/>
            <w:vAlign w:val="bottom"/>
          </w:tcPr>
          <w:p w:rsidR="00043525" w:rsidRPr="00CB2530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CB2530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3.30</w:t>
            </w:r>
          </w:p>
        </w:tc>
      </w:tr>
      <w:tr w:rsidR="00043525" w:rsidRPr="00D104D6" w:rsidTr="00043525">
        <w:tc>
          <w:tcPr>
            <w:tcW w:w="3960" w:type="dxa"/>
          </w:tcPr>
          <w:p w:rsidR="00043525" w:rsidRPr="00B269EE" w:rsidRDefault="00043525" w:rsidP="0067591F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Quarterly Index</w:t>
            </w:r>
          </w:p>
        </w:tc>
        <w:tc>
          <w:tcPr>
            <w:tcW w:w="900" w:type="dxa"/>
            <w:vAlign w:val="bottom"/>
          </w:tcPr>
          <w:p w:rsidR="00043525" w:rsidRPr="009E63BB" w:rsidRDefault="00043525">
            <w:pPr>
              <w:jc w:val="right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vAlign w:val="bottom"/>
          </w:tcPr>
          <w:p w:rsidR="00043525" w:rsidRPr="00D104D6" w:rsidRDefault="0004352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D104D6">
              <w:rPr>
                <w:rFonts w:ascii="Calibri" w:hAnsi="Calibri"/>
                <w:color w:val="000000"/>
                <w:sz w:val="18"/>
                <w:szCs w:val="18"/>
              </w:rPr>
              <w:t>101.36</w:t>
            </w:r>
          </w:p>
        </w:tc>
        <w:tc>
          <w:tcPr>
            <w:tcW w:w="810" w:type="dxa"/>
            <w:vAlign w:val="bottom"/>
          </w:tcPr>
          <w:p w:rsidR="00043525" w:rsidRPr="00D104D6" w:rsidRDefault="00043525">
            <w:pPr>
              <w:jc w:val="right"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 w:rsidRPr="00D104D6">
              <w:rPr>
                <w:rFonts w:ascii="Calibri" w:hAnsi="Calibri"/>
                <w:b/>
                <w:color w:val="000000"/>
                <w:sz w:val="18"/>
                <w:szCs w:val="18"/>
              </w:rPr>
              <w:t>100.41</w:t>
            </w:r>
          </w:p>
        </w:tc>
        <w:tc>
          <w:tcPr>
            <w:tcW w:w="810" w:type="dxa"/>
            <w:vAlign w:val="bottom"/>
          </w:tcPr>
          <w:p w:rsidR="00043525" w:rsidRPr="00D104D6" w:rsidRDefault="0004352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D104D6">
              <w:rPr>
                <w:rFonts w:ascii="Calibri" w:hAnsi="Calibri"/>
                <w:color w:val="000000"/>
                <w:sz w:val="18"/>
                <w:szCs w:val="18"/>
              </w:rPr>
              <w:t>100.08</w:t>
            </w:r>
          </w:p>
        </w:tc>
        <w:tc>
          <w:tcPr>
            <w:tcW w:w="810" w:type="dxa"/>
            <w:vAlign w:val="bottom"/>
          </w:tcPr>
          <w:p w:rsidR="00043525" w:rsidRPr="00D104D6" w:rsidRDefault="0004352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D104D6">
              <w:rPr>
                <w:rFonts w:ascii="Calibri" w:hAnsi="Calibri"/>
                <w:color w:val="000000"/>
                <w:sz w:val="18"/>
                <w:szCs w:val="18"/>
              </w:rPr>
              <w:t>100.19</w:t>
            </w:r>
          </w:p>
        </w:tc>
        <w:tc>
          <w:tcPr>
            <w:tcW w:w="810" w:type="dxa"/>
            <w:vAlign w:val="bottom"/>
          </w:tcPr>
          <w:p w:rsidR="00043525" w:rsidRPr="00D104D6" w:rsidRDefault="00043525">
            <w:pPr>
              <w:jc w:val="right"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 w:rsidRPr="00D104D6">
              <w:rPr>
                <w:rFonts w:ascii="Calibri" w:hAnsi="Calibri"/>
                <w:b/>
                <w:color w:val="000000"/>
                <w:sz w:val="18"/>
                <w:szCs w:val="18"/>
              </w:rPr>
              <w:t>100.34</w:t>
            </w:r>
          </w:p>
        </w:tc>
        <w:tc>
          <w:tcPr>
            <w:tcW w:w="810" w:type="dxa"/>
            <w:vAlign w:val="bottom"/>
          </w:tcPr>
          <w:p w:rsidR="00043525" w:rsidRPr="00D104D6" w:rsidRDefault="0004352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D104D6">
              <w:rPr>
                <w:rFonts w:ascii="Calibri" w:hAnsi="Calibri"/>
                <w:color w:val="000000"/>
                <w:sz w:val="18"/>
                <w:szCs w:val="18"/>
              </w:rPr>
              <w:t>100.51</w:t>
            </w:r>
          </w:p>
        </w:tc>
        <w:tc>
          <w:tcPr>
            <w:tcW w:w="810" w:type="dxa"/>
            <w:vAlign w:val="bottom"/>
          </w:tcPr>
          <w:p w:rsidR="00043525" w:rsidRPr="00D104D6" w:rsidRDefault="0004352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D104D6">
              <w:rPr>
                <w:rFonts w:ascii="Calibri" w:hAnsi="Calibri"/>
                <w:color w:val="000000"/>
                <w:sz w:val="18"/>
                <w:szCs w:val="18"/>
              </w:rPr>
              <w:t>100.70</w:t>
            </w:r>
          </w:p>
        </w:tc>
        <w:tc>
          <w:tcPr>
            <w:tcW w:w="990" w:type="dxa"/>
            <w:vAlign w:val="bottom"/>
          </w:tcPr>
          <w:p w:rsidR="00043525" w:rsidRPr="00D104D6" w:rsidRDefault="00043525">
            <w:pPr>
              <w:jc w:val="right"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 w:rsidRPr="00D104D6">
              <w:rPr>
                <w:rFonts w:ascii="Calibri" w:hAnsi="Calibri"/>
                <w:b/>
                <w:color w:val="000000"/>
                <w:sz w:val="18"/>
                <w:szCs w:val="18"/>
              </w:rPr>
              <w:t>0.51</w:t>
            </w:r>
          </w:p>
        </w:tc>
      </w:tr>
    </w:tbl>
    <w:p w:rsidR="0067591F" w:rsidRDefault="0067591F" w:rsidP="0067591F">
      <w:pPr>
        <w:rPr>
          <w:rFonts w:asciiTheme="minorHAnsi" w:hAnsiTheme="minorHAnsi" w:cs="Arial"/>
          <w:sz w:val="18"/>
          <w:szCs w:val="18"/>
        </w:rPr>
      </w:pPr>
    </w:p>
    <w:p w:rsidR="0081688E" w:rsidRPr="0055336B" w:rsidRDefault="00CB2530" w:rsidP="0067591F">
      <w:pPr>
        <w:rPr>
          <w:rFonts w:asciiTheme="minorHAnsi" w:hAnsiTheme="minorHAnsi" w:cs="Arial"/>
          <w:sz w:val="24"/>
          <w:szCs w:val="24"/>
        </w:rPr>
      </w:pPr>
      <w:r w:rsidRPr="0055336B">
        <w:rPr>
          <w:rFonts w:asciiTheme="minorHAnsi" w:hAnsiTheme="minorHAnsi" w:cs="Arial"/>
          <w:sz w:val="24"/>
          <w:szCs w:val="24"/>
        </w:rPr>
        <w:t xml:space="preserve">The producer price </w:t>
      </w:r>
      <w:r w:rsidR="00EB538A" w:rsidRPr="0055336B">
        <w:rPr>
          <w:rFonts w:asciiTheme="minorHAnsi" w:hAnsiTheme="minorHAnsi" w:cs="Arial"/>
          <w:sz w:val="24"/>
          <w:szCs w:val="24"/>
        </w:rPr>
        <w:t xml:space="preserve">Index (PPI) Basket measured on quarterly basis recorded an inflationary rate of 0.51% in March 2018 </w:t>
      </w:r>
      <w:r w:rsidR="00D50DC2">
        <w:rPr>
          <w:rFonts w:asciiTheme="minorHAnsi" w:hAnsiTheme="minorHAnsi" w:cs="Arial"/>
          <w:sz w:val="24"/>
          <w:szCs w:val="24"/>
        </w:rPr>
        <w:t>(first quarter) where</w:t>
      </w:r>
      <w:r w:rsidR="00DB5F38" w:rsidRPr="0055336B">
        <w:rPr>
          <w:rFonts w:asciiTheme="minorHAnsi" w:hAnsiTheme="minorHAnsi" w:cs="Arial"/>
          <w:sz w:val="24"/>
          <w:szCs w:val="24"/>
        </w:rPr>
        <w:t xml:space="preserve">as it was -1.16%, December 2017 (fourth </w:t>
      </w:r>
      <w:r w:rsidR="00730B21" w:rsidRPr="0055336B">
        <w:rPr>
          <w:rFonts w:asciiTheme="minorHAnsi" w:hAnsiTheme="minorHAnsi" w:cs="Arial"/>
          <w:sz w:val="24"/>
          <w:szCs w:val="24"/>
        </w:rPr>
        <w:t>q</w:t>
      </w:r>
      <w:r w:rsidR="00D50DC2">
        <w:rPr>
          <w:rFonts w:asciiTheme="minorHAnsi" w:hAnsiTheme="minorHAnsi" w:cs="Arial"/>
          <w:sz w:val="24"/>
          <w:szCs w:val="24"/>
        </w:rPr>
        <w:t>uarter), t</w:t>
      </w:r>
      <w:r w:rsidR="0081688E" w:rsidRPr="0055336B">
        <w:rPr>
          <w:rFonts w:asciiTheme="minorHAnsi" w:hAnsiTheme="minorHAnsi" w:cs="Arial"/>
          <w:sz w:val="24"/>
          <w:szCs w:val="24"/>
        </w:rPr>
        <w:t>hat is from Index of 100.19 December 2017 to Index of 100.70 March 2018.</w:t>
      </w:r>
      <w:r w:rsidR="00730B21" w:rsidRPr="0055336B">
        <w:rPr>
          <w:rFonts w:asciiTheme="minorHAnsi" w:hAnsiTheme="minorHAnsi" w:cs="Arial"/>
          <w:sz w:val="24"/>
          <w:szCs w:val="24"/>
        </w:rPr>
        <w:t xml:space="preserve"> </w:t>
      </w:r>
      <w:r w:rsidR="00D50DC2">
        <w:rPr>
          <w:rFonts w:asciiTheme="minorHAnsi" w:hAnsiTheme="minorHAnsi" w:cs="Arial"/>
          <w:sz w:val="24"/>
          <w:szCs w:val="24"/>
        </w:rPr>
        <w:t>The increase</w:t>
      </w:r>
      <w:r w:rsidR="0081688E" w:rsidRPr="0055336B">
        <w:rPr>
          <w:rFonts w:asciiTheme="minorHAnsi" w:hAnsiTheme="minorHAnsi" w:cs="Arial"/>
          <w:sz w:val="24"/>
          <w:szCs w:val="24"/>
        </w:rPr>
        <w:t xml:space="preserve"> was </w:t>
      </w:r>
      <w:r w:rsidR="0081688E" w:rsidRPr="0055336B">
        <w:rPr>
          <w:rFonts w:asciiTheme="minorHAnsi" w:hAnsiTheme="minorHAnsi" w:cs="Arial"/>
          <w:sz w:val="24"/>
          <w:szCs w:val="24"/>
        </w:rPr>
        <w:lastRenderedPageBreak/>
        <w:t xml:space="preserve">the result of price rise in: food </w:t>
      </w:r>
      <w:r w:rsidR="00D50DC2">
        <w:rPr>
          <w:rFonts w:asciiTheme="minorHAnsi" w:hAnsiTheme="minorHAnsi" w:cs="Arial"/>
          <w:sz w:val="24"/>
          <w:szCs w:val="24"/>
        </w:rPr>
        <w:t>(</w:t>
      </w:r>
      <w:r w:rsidR="0081688E" w:rsidRPr="0055336B">
        <w:rPr>
          <w:rFonts w:asciiTheme="minorHAnsi" w:hAnsiTheme="minorHAnsi" w:cs="Arial"/>
          <w:sz w:val="24"/>
          <w:szCs w:val="24"/>
        </w:rPr>
        <w:t>0.98%</w:t>
      </w:r>
      <w:r w:rsidR="00D50DC2">
        <w:rPr>
          <w:rFonts w:asciiTheme="minorHAnsi" w:hAnsiTheme="minorHAnsi" w:cs="Arial"/>
          <w:sz w:val="24"/>
          <w:szCs w:val="24"/>
        </w:rPr>
        <w:t xml:space="preserve">); </w:t>
      </w:r>
      <w:r w:rsidR="0081688E" w:rsidRPr="0055336B">
        <w:rPr>
          <w:rFonts w:asciiTheme="minorHAnsi" w:hAnsiTheme="minorHAnsi" w:cs="Arial"/>
          <w:sz w:val="24"/>
          <w:szCs w:val="24"/>
        </w:rPr>
        <w:t xml:space="preserve">non-food </w:t>
      </w:r>
      <w:r w:rsidR="00D50DC2">
        <w:rPr>
          <w:rFonts w:asciiTheme="minorHAnsi" w:hAnsiTheme="minorHAnsi" w:cs="Arial"/>
          <w:sz w:val="24"/>
          <w:szCs w:val="24"/>
        </w:rPr>
        <w:t>(</w:t>
      </w:r>
      <w:r w:rsidR="0081688E" w:rsidRPr="0055336B">
        <w:rPr>
          <w:rFonts w:asciiTheme="minorHAnsi" w:hAnsiTheme="minorHAnsi" w:cs="Arial"/>
          <w:sz w:val="24"/>
          <w:szCs w:val="24"/>
        </w:rPr>
        <w:t>0.35%</w:t>
      </w:r>
      <w:r w:rsidR="00D50DC2">
        <w:rPr>
          <w:rFonts w:asciiTheme="minorHAnsi" w:hAnsiTheme="minorHAnsi" w:cs="Arial"/>
          <w:sz w:val="24"/>
          <w:szCs w:val="24"/>
        </w:rPr>
        <w:t>);</w:t>
      </w:r>
      <w:r w:rsidR="00730B21" w:rsidRPr="0055336B">
        <w:rPr>
          <w:rFonts w:asciiTheme="minorHAnsi" w:hAnsiTheme="minorHAnsi" w:cs="Arial"/>
          <w:sz w:val="24"/>
          <w:szCs w:val="24"/>
        </w:rPr>
        <w:t xml:space="preserve"> </w:t>
      </w:r>
      <w:r w:rsidR="0081688E" w:rsidRPr="0055336B">
        <w:rPr>
          <w:rFonts w:asciiTheme="minorHAnsi" w:hAnsiTheme="minorHAnsi" w:cs="Arial"/>
          <w:sz w:val="24"/>
          <w:szCs w:val="24"/>
        </w:rPr>
        <w:t>and quarrying of</w:t>
      </w:r>
      <w:r w:rsidR="00730B21" w:rsidRPr="0055336B">
        <w:rPr>
          <w:rFonts w:asciiTheme="minorHAnsi" w:hAnsiTheme="minorHAnsi" w:cs="Arial"/>
          <w:sz w:val="24"/>
          <w:szCs w:val="24"/>
        </w:rPr>
        <w:t xml:space="preserve"> </w:t>
      </w:r>
      <w:r w:rsidR="0081688E" w:rsidRPr="0055336B">
        <w:rPr>
          <w:rFonts w:asciiTheme="minorHAnsi" w:hAnsiTheme="minorHAnsi" w:cs="Arial"/>
          <w:sz w:val="24"/>
          <w:szCs w:val="24"/>
        </w:rPr>
        <w:t>stone and sand</w:t>
      </w:r>
      <w:r w:rsidR="00730B21" w:rsidRPr="0055336B">
        <w:rPr>
          <w:rFonts w:asciiTheme="minorHAnsi" w:hAnsiTheme="minorHAnsi" w:cs="Arial"/>
          <w:sz w:val="24"/>
          <w:szCs w:val="24"/>
        </w:rPr>
        <w:t xml:space="preserve"> </w:t>
      </w:r>
      <w:r w:rsidR="00D50DC2">
        <w:rPr>
          <w:rFonts w:asciiTheme="minorHAnsi" w:hAnsiTheme="minorHAnsi" w:cs="Arial"/>
          <w:sz w:val="24"/>
          <w:szCs w:val="24"/>
        </w:rPr>
        <w:t>(</w:t>
      </w:r>
      <w:r w:rsidR="00730B21" w:rsidRPr="0055336B">
        <w:rPr>
          <w:rFonts w:asciiTheme="minorHAnsi" w:hAnsiTheme="minorHAnsi" w:cs="Arial"/>
          <w:sz w:val="24"/>
          <w:szCs w:val="24"/>
        </w:rPr>
        <w:t>3.30%</w:t>
      </w:r>
      <w:r w:rsidR="00D50DC2">
        <w:rPr>
          <w:rFonts w:asciiTheme="minorHAnsi" w:hAnsiTheme="minorHAnsi" w:cs="Arial"/>
          <w:sz w:val="24"/>
          <w:szCs w:val="24"/>
        </w:rPr>
        <w:t>)</w:t>
      </w:r>
      <w:r w:rsidR="00730B21" w:rsidRPr="0055336B">
        <w:rPr>
          <w:rFonts w:asciiTheme="minorHAnsi" w:hAnsiTheme="minorHAnsi" w:cs="Arial"/>
          <w:sz w:val="24"/>
          <w:szCs w:val="24"/>
        </w:rPr>
        <w:t>.</w:t>
      </w:r>
    </w:p>
    <w:p w:rsidR="00327248" w:rsidRDefault="00257EEF" w:rsidP="000C30AD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The food Index rise</w:t>
      </w:r>
      <w:r w:rsidR="00FC140D" w:rsidRPr="0055336B">
        <w:rPr>
          <w:rFonts w:asciiTheme="minorHAnsi" w:hAnsiTheme="minorHAnsi" w:cs="Arial"/>
          <w:sz w:val="24"/>
          <w:szCs w:val="24"/>
        </w:rPr>
        <w:t xml:space="preserve"> was due </w:t>
      </w:r>
      <w:r w:rsidR="00D50DC2">
        <w:rPr>
          <w:rFonts w:asciiTheme="minorHAnsi" w:hAnsiTheme="minorHAnsi" w:cs="Arial"/>
          <w:sz w:val="24"/>
          <w:szCs w:val="24"/>
        </w:rPr>
        <w:t xml:space="preserve">to </w:t>
      </w:r>
      <w:r w:rsidR="00FC140D" w:rsidRPr="0055336B">
        <w:rPr>
          <w:rFonts w:asciiTheme="minorHAnsi" w:hAnsiTheme="minorHAnsi" w:cs="Arial"/>
          <w:sz w:val="24"/>
          <w:szCs w:val="24"/>
        </w:rPr>
        <w:t xml:space="preserve">price increase in: Processed and preserved fish Index (2.60%) Nuts, vegetable, animal oil and fats Index (6.14%) and Bakery Products Index (0.15%). </w:t>
      </w:r>
    </w:p>
    <w:p w:rsidR="00327248" w:rsidRDefault="00327248" w:rsidP="000C30AD">
      <w:pPr>
        <w:rPr>
          <w:rFonts w:asciiTheme="minorHAnsi" w:hAnsiTheme="minorHAnsi" w:cs="Arial"/>
          <w:sz w:val="24"/>
          <w:szCs w:val="24"/>
        </w:rPr>
      </w:pPr>
    </w:p>
    <w:p w:rsidR="006F785E" w:rsidRDefault="00FC140D" w:rsidP="000C30AD">
      <w:pPr>
        <w:rPr>
          <w:rFonts w:asciiTheme="minorHAnsi" w:hAnsiTheme="minorHAnsi" w:cs="Arial"/>
          <w:sz w:val="24"/>
          <w:szCs w:val="24"/>
        </w:rPr>
      </w:pPr>
      <w:r w:rsidRPr="0055336B">
        <w:rPr>
          <w:rFonts w:asciiTheme="minorHAnsi" w:hAnsiTheme="minorHAnsi" w:cs="Arial"/>
          <w:sz w:val="24"/>
          <w:szCs w:val="24"/>
        </w:rPr>
        <w:t xml:space="preserve">For the non- food price </w:t>
      </w:r>
      <w:r w:rsidR="00257EEF">
        <w:rPr>
          <w:rFonts w:asciiTheme="minorHAnsi" w:hAnsiTheme="minorHAnsi" w:cs="Arial"/>
          <w:sz w:val="24"/>
          <w:szCs w:val="24"/>
        </w:rPr>
        <w:t>inc</w:t>
      </w:r>
      <w:r w:rsidR="006F785E">
        <w:rPr>
          <w:rFonts w:asciiTheme="minorHAnsi" w:hAnsiTheme="minorHAnsi" w:cs="Arial"/>
          <w:sz w:val="24"/>
          <w:szCs w:val="24"/>
        </w:rPr>
        <w:t>r</w:t>
      </w:r>
      <w:r w:rsidR="00257EEF">
        <w:rPr>
          <w:rFonts w:asciiTheme="minorHAnsi" w:hAnsiTheme="minorHAnsi" w:cs="Arial"/>
          <w:sz w:val="24"/>
          <w:szCs w:val="24"/>
        </w:rPr>
        <w:t>ease</w:t>
      </w:r>
      <w:r w:rsidR="000C30AD" w:rsidRPr="0055336B">
        <w:rPr>
          <w:rFonts w:asciiTheme="minorHAnsi" w:hAnsiTheme="minorHAnsi" w:cs="Arial"/>
          <w:sz w:val="24"/>
          <w:szCs w:val="24"/>
        </w:rPr>
        <w:t xml:space="preserve"> was in: Other non-metallic mineral products Index (2.08%); Wood products Index</w:t>
      </w:r>
      <w:r w:rsidR="0055336B">
        <w:rPr>
          <w:rFonts w:asciiTheme="minorHAnsi" w:hAnsiTheme="minorHAnsi" w:cs="Arial"/>
          <w:sz w:val="24"/>
          <w:szCs w:val="24"/>
        </w:rPr>
        <w:t xml:space="preserve"> </w:t>
      </w:r>
      <w:r w:rsidR="000C30AD" w:rsidRPr="0055336B">
        <w:rPr>
          <w:rFonts w:asciiTheme="minorHAnsi" w:hAnsiTheme="minorHAnsi" w:cs="Arial"/>
          <w:sz w:val="24"/>
          <w:szCs w:val="24"/>
        </w:rPr>
        <w:t>(1.98%); Furniture Index (1.72%); other fabricated metal product n. e. c. Index (1.57%); Leather and related products Index</w:t>
      </w:r>
      <w:r w:rsidR="0055336B">
        <w:rPr>
          <w:rFonts w:asciiTheme="minorHAnsi" w:hAnsiTheme="minorHAnsi" w:cs="Arial"/>
          <w:sz w:val="24"/>
          <w:szCs w:val="24"/>
        </w:rPr>
        <w:t xml:space="preserve"> </w:t>
      </w:r>
      <w:r w:rsidR="000C30AD" w:rsidRPr="0055336B">
        <w:rPr>
          <w:rFonts w:asciiTheme="minorHAnsi" w:hAnsiTheme="minorHAnsi" w:cs="Arial"/>
          <w:sz w:val="24"/>
          <w:szCs w:val="24"/>
        </w:rPr>
        <w:t xml:space="preserve">(1.22%) and Clothing Index (0.12%). </w:t>
      </w:r>
    </w:p>
    <w:p w:rsidR="006F785E" w:rsidRDefault="006F785E" w:rsidP="000C30AD">
      <w:pPr>
        <w:rPr>
          <w:rFonts w:asciiTheme="minorHAnsi" w:hAnsiTheme="minorHAnsi" w:cs="Arial"/>
          <w:sz w:val="24"/>
          <w:szCs w:val="24"/>
        </w:rPr>
      </w:pPr>
    </w:p>
    <w:p w:rsidR="000C30AD" w:rsidRPr="0055336B" w:rsidRDefault="006F785E" w:rsidP="000C30AD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I</w:t>
      </w:r>
      <w:r w:rsidR="000C30AD" w:rsidRPr="0055336B">
        <w:rPr>
          <w:rFonts w:asciiTheme="minorHAnsi" w:hAnsiTheme="minorHAnsi" w:cs="Arial"/>
          <w:sz w:val="24"/>
          <w:szCs w:val="24"/>
        </w:rPr>
        <w:t>n the area of</w:t>
      </w:r>
      <w:r>
        <w:rPr>
          <w:rFonts w:asciiTheme="minorHAnsi" w:hAnsiTheme="minorHAnsi" w:cs="Arial"/>
          <w:sz w:val="24"/>
          <w:szCs w:val="24"/>
        </w:rPr>
        <w:t xml:space="preserve"> </w:t>
      </w:r>
      <w:r w:rsidR="000C30AD" w:rsidRPr="0055336B">
        <w:rPr>
          <w:rFonts w:asciiTheme="minorHAnsi" w:hAnsiTheme="minorHAnsi" w:cs="Arial"/>
          <w:sz w:val="24"/>
          <w:szCs w:val="24"/>
        </w:rPr>
        <w:t>Q</w:t>
      </w:r>
      <w:r w:rsidR="00D50DC2">
        <w:rPr>
          <w:rFonts w:asciiTheme="minorHAnsi" w:hAnsiTheme="minorHAnsi" w:cs="Arial"/>
          <w:sz w:val="24"/>
          <w:szCs w:val="24"/>
        </w:rPr>
        <w:t>uarrying of stone and sand</w:t>
      </w:r>
      <w:r w:rsidR="0055336B" w:rsidRPr="0055336B">
        <w:rPr>
          <w:rFonts w:asciiTheme="minorHAnsi" w:hAnsiTheme="minorHAnsi" w:cs="Arial"/>
          <w:sz w:val="24"/>
          <w:szCs w:val="24"/>
        </w:rPr>
        <w:t xml:space="preserve"> it is only stones Index that increase</w:t>
      </w:r>
      <w:r w:rsidR="00D50DC2">
        <w:rPr>
          <w:rFonts w:asciiTheme="minorHAnsi" w:hAnsiTheme="minorHAnsi" w:cs="Arial"/>
          <w:sz w:val="24"/>
          <w:szCs w:val="24"/>
        </w:rPr>
        <w:t>d</w:t>
      </w:r>
      <w:r w:rsidR="0055336B" w:rsidRPr="0055336B">
        <w:rPr>
          <w:rFonts w:asciiTheme="minorHAnsi" w:hAnsiTheme="minorHAnsi" w:cs="Arial"/>
          <w:sz w:val="24"/>
          <w:szCs w:val="24"/>
        </w:rPr>
        <w:t xml:space="preserve"> (4.72%)</w:t>
      </w:r>
    </w:p>
    <w:p w:rsidR="000C30AD" w:rsidRPr="0055336B" w:rsidRDefault="000C30AD" w:rsidP="000C30AD">
      <w:pPr>
        <w:rPr>
          <w:rFonts w:asciiTheme="minorHAnsi" w:hAnsiTheme="minorHAnsi" w:cs="Arial"/>
          <w:sz w:val="24"/>
          <w:szCs w:val="24"/>
        </w:rPr>
      </w:pPr>
    </w:p>
    <w:p w:rsidR="000C30AD" w:rsidRDefault="000C30AD" w:rsidP="000C30AD">
      <w:pPr>
        <w:rPr>
          <w:rFonts w:asciiTheme="minorHAnsi" w:hAnsiTheme="minorHAnsi" w:cs="Arial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1915"/>
        <w:gridCol w:w="1915"/>
        <w:gridCol w:w="1915"/>
        <w:gridCol w:w="1915"/>
        <w:gridCol w:w="1916"/>
      </w:tblGrid>
      <w:tr w:rsidR="00F94691" w:rsidTr="00F94691">
        <w:tc>
          <w:tcPr>
            <w:tcW w:w="1915" w:type="dxa"/>
          </w:tcPr>
          <w:p w:rsidR="00F94691" w:rsidRDefault="00F94691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Year</w:t>
            </w:r>
          </w:p>
        </w:tc>
        <w:tc>
          <w:tcPr>
            <w:tcW w:w="1915" w:type="dxa"/>
          </w:tcPr>
          <w:p w:rsidR="00F94691" w:rsidRDefault="00F94691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Quarter 1</w:t>
            </w:r>
          </w:p>
        </w:tc>
        <w:tc>
          <w:tcPr>
            <w:tcW w:w="1915" w:type="dxa"/>
          </w:tcPr>
          <w:p w:rsidR="00F94691" w:rsidRDefault="00F94691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Quarter 2</w:t>
            </w:r>
          </w:p>
        </w:tc>
        <w:tc>
          <w:tcPr>
            <w:tcW w:w="1915" w:type="dxa"/>
          </w:tcPr>
          <w:p w:rsidR="00F94691" w:rsidRDefault="00F94691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Quarter 3</w:t>
            </w:r>
          </w:p>
        </w:tc>
        <w:tc>
          <w:tcPr>
            <w:tcW w:w="1916" w:type="dxa"/>
          </w:tcPr>
          <w:p w:rsidR="00F94691" w:rsidRDefault="00F94691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Quarter 4</w:t>
            </w:r>
          </w:p>
        </w:tc>
      </w:tr>
      <w:tr w:rsidR="00F94691" w:rsidTr="00F94691">
        <w:tc>
          <w:tcPr>
            <w:tcW w:w="1915" w:type="dxa"/>
          </w:tcPr>
          <w:p w:rsidR="00F94691" w:rsidRDefault="00F94691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2018</w:t>
            </w:r>
          </w:p>
        </w:tc>
        <w:tc>
          <w:tcPr>
            <w:tcW w:w="1915" w:type="dxa"/>
          </w:tcPr>
          <w:p w:rsidR="00F94691" w:rsidRDefault="00F94691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         0.51</w:t>
            </w:r>
          </w:p>
        </w:tc>
        <w:tc>
          <w:tcPr>
            <w:tcW w:w="1915" w:type="dxa"/>
          </w:tcPr>
          <w:p w:rsidR="00F94691" w:rsidRDefault="00F94691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915" w:type="dxa"/>
          </w:tcPr>
          <w:p w:rsidR="00F94691" w:rsidRDefault="00F94691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916" w:type="dxa"/>
          </w:tcPr>
          <w:p w:rsidR="00F94691" w:rsidRDefault="00F94691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</w:tbl>
    <w:p w:rsidR="000C30AD" w:rsidRPr="000C30AD" w:rsidRDefault="000C30AD" w:rsidP="000C30AD">
      <w:pPr>
        <w:rPr>
          <w:rFonts w:asciiTheme="minorHAnsi" w:hAnsiTheme="minorHAnsi" w:cs="Arial"/>
          <w:sz w:val="24"/>
          <w:szCs w:val="24"/>
        </w:rPr>
      </w:pPr>
    </w:p>
    <w:p w:rsidR="00FC140D" w:rsidRPr="000C30AD" w:rsidRDefault="00FC140D" w:rsidP="00FC140D">
      <w:pPr>
        <w:rPr>
          <w:rFonts w:asciiTheme="minorHAnsi" w:hAnsiTheme="minorHAnsi" w:cs="Arial"/>
          <w:sz w:val="24"/>
          <w:szCs w:val="24"/>
        </w:rPr>
      </w:pPr>
    </w:p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/>
      </w:tblPr>
      <w:tblGrid>
        <w:gridCol w:w="9630"/>
      </w:tblGrid>
      <w:tr w:rsidR="00F94691" w:rsidRPr="00962296" w:rsidTr="00634BC7">
        <w:trPr>
          <w:trHeight w:val="70"/>
        </w:trPr>
        <w:tc>
          <w:tcPr>
            <w:tcW w:w="9630" w:type="dxa"/>
            <w:shd w:val="clear" w:color="auto" w:fill="CCFFCC"/>
          </w:tcPr>
          <w:p w:rsidR="00F94691" w:rsidRPr="00606CBF" w:rsidRDefault="00F94691" w:rsidP="00634BC7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06CBF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F94691" w:rsidRPr="00606CBF" w:rsidRDefault="00F94691" w:rsidP="00634BC7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F94691" w:rsidRPr="00606CBF" w:rsidRDefault="00F94691" w:rsidP="00634BC7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Kanifing Institutional Layout  </w:t>
            </w:r>
          </w:p>
          <w:p w:rsidR="00F94691" w:rsidRPr="00606CBF" w:rsidRDefault="00F94691" w:rsidP="00634BC7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P.O.Box 3504 Serekunda</w:t>
            </w:r>
          </w:p>
          <w:p w:rsidR="00F94691" w:rsidRPr="00606CBF" w:rsidRDefault="00F94691" w:rsidP="00634BC7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F94691" w:rsidRPr="00606CBF" w:rsidRDefault="00F94691" w:rsidP="00634BC7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F94691" w:rsidRPr="00606CBF" w:rsidRDefault="00F94691" w:rsidP="00634BC7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 Web site: </w:t>
            </w:r>
            <w:r w:rsidR="009D7D8F">
              <w:rPr>
                <w:rFonts w:cs="Arial"/>
                <w:sz w:val="18"/>
                <w:szCs w:val="18"/>
              </w:rPr>
              <w:t>www.data.gbos.gov.gm</w:t>
            </w:r>
          </w:p>
          <w:p w:rsidR="00F94691" w:rsidRPr="00606CBF" w:rsidRDefault="00F94691" w:rsidP="00634BC7">
            <w:pPr>
              <w:rPr>
                <w:rFonts w:cs="Arial"/>
                <w:sz w:val="18"/>
                <w:szCs w:val="18"/>
              </w:rPr>
            </w:pPr>
          </w:p>
          <w:p w:rsidR="00F94691" w:rsidRPr="00606CBF" w:rsidRDefault="00F94691" w:rsidP="00634BC7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Publication Director:  Mr. Nyakassi  M. B. Sanyang, Statistician- General</w:t>
            </w:r>
          </w:p>
          <w:p w:rsidR="00F94691" w:rsidRPr="00606CBF" w:rsidRDefault="00F94691" w:rsidP="00634BC7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Publication Editor: Mr Ousman Dibba, Director Prices and Government Finance Statistics GBOS </w:t>
            </w:r>
          </w:p>
          <w:p w:rsidR="00F94691" w:rsidRPr="00606CBF" w:rsidRDefault="00F94691" w:rsidP="00634BC7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9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ousman_dibba@yahoo.co</w:t>
              </w:r>
            </w:hyperlink>
            <w:r w:rsidRPr="00606CBF">
              <w:rPr>
                <w:rFonts w:cs="Arial"/>
                <w:sz w:val="18"/>
                <w:szCs w:val="18"/>
              </w:rPr>
              <w:t>m</w:t>
            </w:r>
          </w:p>
          <w:p w:rsidR="00F94691" w:rsidRPr="00606CBF" w:rsidRDefault="00F94691" w:rsidP="00634BC7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Statistician in charge of PPI: Mr. Ansu Kanyi, GBOS</w:t>
            </w:r>
          </w:p>
          <w:p w:rsidR="00F94691" w:rsidRPr="00606CBF" w:rsidRDefault="00F94691" w:rsidP="00634BC7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0" w:history="1">
              <w:r w:rsidRPr="00480217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FC140D" w:rsidRPr="00FC140D" w:rsidRDefault="00FC140D" w:rsidP="0067591F">
      <w:pPr>
        <w:rPr>
          <w:rFonts w:asciiTheme="minorHAnsi" w:hAnsiTheme="minorHAnsi" w:cs="Arial"/>
          <w:sz w:val="24"/>
          <w:szCs w:val="24"/>
        </w:rPr>
      </w:pPr>
    </w:p>
    <w:sectPr w:rsidR="00FC140D" w:rsidRPr="00FC140D" w:rsidSect="00023D64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785B" w:rsidRDefault="0059785B" w:rsidP="005563BA">
      <w:r>
        <w:separator/>
      </w:r>
    </w:p>
  </w:endnote>
  <w:endnote w:type="continuationSeparator" w:id="1">
    <w:p w:rsidR="0059785B" w:rsidRDefault="0059785B" w:rsidP="00556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6400"/>
      <w:docPartObj>
        <w:docPartGallery w:val="Page Numbers (Bottom of Page)"/>
        <w:docPartUnique/>
      </w:docPartObj>
    </w:sdtPr>
    <w:sdtContent>
      <w:p w:rsidR="00FC140D" w:rsidRDefault="00BF2E75">
        <w:pPr>
          <w:pStyle w:val="Footer"/>
        </w:pPr>
        <w:fldSimple w:instr=" PAGE   \* MERGEFORMAT ">
          <w:r w:rsidR="0059785B">
            <w:rPr>
              <w:noProof/>
            </w:rPr>
            <w:t>1</w:t>
          </w:r>
        </w:fldSimple>
      </w:p>
    </w:sdtContent>
  </w:sdt>
  <w:p w:rsidR="00FC140D" w:rsidRDefault="00FC140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785B" w:rsidRDefault="0059785B" w:rsidP="005563BA">
      <w:r>
        <w:separator/>
      </w:r>
    </w:p>
  </w:footnote>
  <w:footnote w:type="continuationSeparator" w:id="1">
    <w:p w:rsidR="0059785B" w:rsidRDefault="0059785B" w:rsidP="005563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4122F"/>
    <w:rsid w:val="0000116F"/>
    <w:rsid w:val="00015BB3"/>
    <w:rsid w:val="00023D64"/>
    <w:rsid w:val="00025774"/>
    <w:rsid w:val="000430F8"/>
    <w:rsid w:val="00043525"/>
    <w:rsid w:val="00076E61"/>
    <w:rsid w:val="00091288"/>
    <w:rsid w:val="000A158F"/>
    <w:rsid w:val="000A55A0"/>
    <w:rsid w:val="000C30AD"/>
    <w:rsid w:val="000D55C0"/>
    <w:rsid w:val="000D61F7"/>
    <w:rsid w:val="001159DD"/>
    <w:rsid w:val="00146FA8"/>
    <w:rsid w:val="0016451C"/>
    <w:rsid w:val="001709B8"/>
    <w:rsid w:val="0017373B"/>
    <w:rsid w:val="00186DAE"/>
    <w:rsid w:val="001967C7"/>
    <w:rsid w:val="001A0C31"/>
    <w:rsid w:val="001A4150"/>
    <w:rsid w:val="001A4795"/>
    <w:rsid w:val="001B4080"/>
    <w:rsid w:val="001B6E8D"/>
    <w:rsid w:val="001D0FA0"/>
    <w:rsid w:val="0021023E"/>
    <w:rsid w:val="00215935"/>
    <w:rsid w:val="0023477B"/>
    <w:rsid w:val="00255995"/>
    <w:rsid w:val="00257EEF"/>
    <w:rsid w:val="00260A5F"/>
    <w:rsid w:val="00270035"/>
    <w:rsid w:val="00284926"/>
    <w:rsid w:val="00286CF6"/>
    <w:rsid w:val="0029574D"/>
    <w:rsid w:val="002A5A00"/>
    <w:rsid w:val="002B0ABD"/>
    <w:rsid w:val="002D0740"/>
    <w:rsid w:val="002E531E"/>
    <w:rsid w:val="00302AA1"/>
    <w:rsid w:val="003061C0"/>
    <w:rsid w:val="00311450"/>
    <w:rsid w:val="00316BE5"/>
    <w:rsid w:val="003238DC"/>
    <w:rsid w:val="00326E99"/>
    <w:rsid w:val="00327248"/>
    <w:rsid w:val="00335651"/>
    <w:rsid w:val="0033608C"/>
    <w:rsid w:val="00356EF5"/>
    <w:rsid w:val="00356F5E"/>
    <w:rsid w:val="003715A8"/>
    <w:rsid w:val="00375F34"/>
    <w:rsid w:val="00395399"/>
    <w:rsid w:val="003B151C"/>
    <w:rsid w:val="003B7F50"/>
    <w:rsid w:val="003E2BFB"/>
    <w:rsid w:val="003E3041"/>
    <w:rsid w:val="0042583B"/>
    <w:rsid w:val="00443D3E"/>
    <w:rsid w:val="004613D9"/>
    <w:rsid w:val="00483F3F"/>
    <w:rsid w:val="004A04D2"/>
    <w:rsid w:val="004A3DBE"/>
    <w:rsid w:val="004A55C4"/>
    <w:rsid w:val="004B314E"/>
    <w:rsid w:val="00512737"/>
    <w:rsid w:val="00517F0E"/>
    <w:rsid w:val="00520CE5"/>
    <w:rsid w:val="005344B1"/>
    <w:rsid w:val="00537C8F"/>
    <w:rsid w:val="005437AC"/>
    <w:rsid w:val="00544207"/>
    <w:rsid w:val="00550252"/>
    <w:rsid w:val="0055336B"/>
    <w:rsid w:val="00553416"/>
    <w:rsid w:val="00555730"/>
    <w:rsid w:val="005563BA"/>
    <w:rsid w:val="00573990"/>
    <w:rsid w:val="0059785B"/>
    <w:rsid w:val="005A3F72"/>
    <w:rsid w:val="00601251"/>
    <w:rsid w:val="00640CBB"/>
    <w:rsid w:val="0067591F"/>
    <w:rsid w:val="00694E42"/>
    <w:rsid w:val="006A2CB6"/>
    <w:rsid w:val="006C327F"/>
    <w:rsid w:val="006C50A4"/>
    <w:rsid w:val="006D0C8A"/>
    <w:rsid w:val="006F43AA"/>
    <w:rsid w:val="006F5A61"/>
    <w:rsid w:val="006F785E"/>
    <w:rsid w:val="00710AFD"/>
    <w:rsid w:val="00712316"/>
    <w:rsid w:val="0071448E"/>
    <w:rsid w:val="0073058D"/>
    <w:rsid w:val="00730B21"/>
    <w:rsid w:val="00737154"/>
    <w:rsid w:val="00745EDB"/>
    <w:rsid w:val="007632F0"/>
    <w:rsid w:val="00767A27"/>
    <w:rsid w:val="0077518E"/>
    <w:rsid w:val="0077718D"/>
    <w:rsid w:val="00791E3D"/>
    <w:rsid w:val="007A7541"/>
    <w:rsid w:val="007C713E"/>
    <w:rsid w:val="007E4649"/>
    <w:rsid w:val="0081688E"/>
    <w:rsid w:val="00833A1F"/>
    <w:rsid w:val="008440B6"/>
    <w:rsid w:val="00870804"/>
    <w:rsid w:val="008C2FA7"/>
    <w:rsid w:val="008F0B0D"/>
    <w:rsid w:val="00920C46"/>
    <w:rsid w:val="00921452"/>
    <w:rsid w:val="009373F5"/>
    <w:rsid w:val="00946F66"/>
    <w:rsid w:val="009839C8"/>
    <w:rsid w:val="00991F89"/>
    <w:rsid w:val="009A6C12"/>
    <w:rsid w:val="009B0423"/>
    <w:rsid w:val="009B0439"/>
    <w:rsid w:val="009C3462"/>
    <w:rsid w:val="009C3497"/>
    <w:rsid w:val="009C4106"/>
    <w:rsid w:val="009C7F60"/>
    <w:rsid w:val="009D7D8F"/>
    <w:rsid w:val="009E63BB"/>
    <w:rsid w:val="009E6E5A"/>
    <w:rsid w:val="00A00966"/>
    <w:rsid w:val="00A04DE9"/>
    <w:rsid w:val="00A2674E"/>
    <w:rsid w:val="00A40A94"/>
    <w:rsid w:val="00A42B4B"/>
    <w:rsid w:val="00A612B6"/>
    <w:rsid w:val="00A63D00"/>
    <w:rsid w:val="00A826FD"/>
    <w:rsid w:val="00AB4445"/>
    <w:rsid w:val="00AB78A4"/>
    <w:rsid w:val="00AD375E"/>
    <w:rsid w:val="00AF6FE9"/>
    <w:rsid w:val="00B15351"/>
    <w:rsid w:val="00B269EE"/>
    <w:rsid w:val="00B4122F"/>
    <w:rsid w:val="00B56DD6"/>
    <w:rsid w:val="00B65785"/>
    <w:rsid w:val="00B65E13"/>
    <w:rsid w:val="00B713BF"/>
    <w:rsid w:val="00B80098"/>
    <w:rsid w:val="00B8508E"/>
    <w:rsid w:val="00B970CA"/>
    <w:rsid w:val="00BB03DA"/>
    <w:rsid w:val="00BB429C"/>
    <w:rsid w:val="00BC7AB3"/>
    <w:rsid w:val="00BC7D77"/>
    <w:rsid w:val="00BE0ADB"/>
    <w:rsid w:val="00BE462A"/>
    <w:rsid w:val="00BF2E75"/>
    <w:rsid w:val="00C01964"/>
    <w:rsid w:val="00C05A56"/>
    <w:rsid w:val="00C13E0F"/>
    <w:rsid w:val="00C34FC0"/>
    <w:rsid w:val="00C42174"/>
    <w:rsid w:val="00C75B45"/>
    <w:rsid w:val="00C75EF4"/>
    <w:rsid w:val="00C918B1"/>
    <w:rsid w:val="00C9454D"/>
    <w:rsid w:val="00CA438F"/>
    <w:rsid w:val="00CA66FC"/>
    <w:rsid w:val="00CB2530"/>
    <w:rsid w:val="00CB46DF"/>
    <w:rsid w:val="00CB6FE7"/>
    <w:rsid w:val="00CC08C2"/>
    <w:rsid w:val="00CF4CEE"/>
    <w:rsid w:val="00D00B95"/>
    <w:rsid w:val="00D03C92"/>
    <w:rsid w:val="00D104D6"/>
    <w:rsid w:val="00D213EF"/>
    <w:rsid w:val="00D25532"/>
    <w:rsid w:val="00D33C0D"/>
    <w:rsid w:val="00D5024E"/>
    <w:rsid w:val="00D50DC2"/>
    <w:rsid w:val="00D53D01"/>
    <w:rsid w:val="00D826A2"/>
    <w:rsid w:val="00D870AC"/>
    <w:rsid w:val="00D9137B"/>
    <w:rsid w:val="00DA7A8D"/>
    <w:rsid w:val="00DA7F86"/>
    <w:rsid w:val="00DB5F38"/>
    <w:rsid w:val="00DD2AD2"/>
    <w:rsid w:val="00DD5AE2"/>
    <w:rsid w:val="00DF202D"/>
    <w:rsid w:val="00E10F8C"/>
    <w:rsid w:val="00E36AC4"/>
    <w:rsid w:val="00E44D1C"/>
    <w:rsid w:val="00E65096"/>
    <w:rsid w:val="00E6619F"/>
    <w:rsid w:val="00E662E6"/>
    <w:rsid w:val="00E803C4"/>
    <w:rsid w:val="00EA3BDB"/>
    <w:rsid w:val="00EB538A"/>
    <w:rsid w:val="00F034BC"/>
    <w:rsid w:val="00F0407E"/>
    <w:rsid w:val="00F049D3"/>
    <w:rsid w:val="00F204FE"/>
    <w:rsid w:val="00F2312A"/>
    <w:rsid w:val="00F31D2C"/>
    <w:rsid w:val="00F37DA9"/>
    <w:rsid w:val="00F446E4"/>
    <w:rsid w:val="00F72A4E"/>
    <w:rsid w:val="00F8182F"/>
    <w:rsid w:val="00F94691"/>
    <w:rsid w:val="00FB5F2A"/>
    <w:rsid w:val="00FB7414"/>
    <w:rsid w:val="00FB76DD"/>
    <w:rsid w:val="00FC140D"/>
    <w:rsid w:val="00FC7AB8"/>
    <w:rsid w:val="00FD2C54"/>
    <w:rsid w:val="00FE4703"/>
    <w:rsid w:val="00FE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kanyi.ansu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usman_dibba@yahoo.c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3156F-E8A7-4626-B1EB-A2C905588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4725929</TotalTime>
  <Pages>2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Kanyi</cp:lastModifiedBy>
  <cp:revision>152</cp:revision>
  <dcterms:created xsi:type="dcterms:W3CDTF">2015-11-09T17:20:00Z</dcterms:created>
  <dcterms:modified xsi:type="dcterms:W3CDTF">2009-04-16T23:16:00Z</dcterms:modified>
</cp:coreProperties>
</file>