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2F" w:rsidRDefault="00B4122F" w:rsidP="00B4122F"/>
    <w:p w:rsidR="00B4122F" w:rsidRDefault="00B4122F" w:rsidP="00B4122F">
      <w:pPr>
        <w:ind w:left="-270"/>
      </w:pPr>
    </w:p>
    <w:tbl>
      <w:tblPr>
        <w:tblpPr w:leftFromText="180" w:rightFromText="180" w:horzAnchor="margin" w:tblpXSpec="center" w:tblpY="554"/>
        <w:tblW w:w="5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63"/>
      </w:tblGrid>
      <w:tr w:rsidR="00B4122F" w:rsidRPr="00962296" w:rsidTr="00920C46">
        <w:trPr>
          <w:trHeight w:val="782"/>
        </w:trPr>
        <w:tc>
          <w:tcPr>
            <w:tcW w:w="5863" w:type="dxa"/>
          </w:tcPr>
          <w:p w:rsidR="00B4122F" w:rsidRPr="00D277F2" w:rsidRDefault="00B4122F" w:rsidP="00D277F2">
            <w:pPr>
              <w:tabs>
                <w:tab w:val="left" w:pos="2145"/>
              </w:tabs>
              <w:jc w:val="center"/>
              <w:rPr>
                <w:b/>
                <w:sz w:val="24"/>
                <w:szCs w:val="24"/>
              </w:rPr>
            </w:pPr>
            <w:r w:rsidRPr="00D277F2">
              <w:rPr>
                <w:b/>
                <w:sz w:val="24"/>
                <w:szCs w:val="24"/>
              </w:rPr>
              <w:t>THE GAMBIA PRODUCER PRICE INDEX (PPI)</w:t>
            </w:r>
            <w:r w:rsidR="0041639C" w:rsidRPr="00D277F2">
              <w:rPr>
                <w:b/>
                <w:sz w:val="24"/>
                <w:szCs w:val="24"/>
              </w:rPr>
              <w:t xml:space="preserve"> QUARTERLY REPORT, SEP</w:t>
            </w:r>
            <w:r w:rsidR="00400ED7" w:rsidRPr="00D277F2">
              <w:rPr>
                <w:b/>
                <w:sz w:val="24"/>
                <w:szCs w:val="24"/>
              </w:rPr>
              <w:t>T</w:t>
            </w:r>
            <w:r w:rsidR="0041639C" w:rsidRPr="00D277F2">
              <w:rPr>
                <w:b/>
                <w:sz w:val="24"/>
                <w:szCs w:val="24"/>
              </w:rPr>
              <w:t>EMBER</w:t>
            </w:r>
            <w:r w:rsidR="007E4649" w:rsidRPr="00D277F2">
              <w:rPr>
                <w:b/>
                <w:sz w:val="24"/>
                <w:szCs w:val="24"/>
              </w:rPr>
              <w:t xml:space="preserve"> 201</w:t>
            </w:r>
            <w:r w:rsidR="00920C46" w:rsidRPr="00D277F2">
              <w:rPr>
                <w:b/>
                <w:sz w:val="24"/>
                <w:szCs w:val="24"/>
              </w:rPr>
              <w:t>8</w:t>
            </w:r>
          </w:p>
        </w:tc>
      </w:tr>
    </w:tbl>
    <w:p w:rsidR="00B4122F" w:rsidRDefault="00B4122F" w:rsidP="00B4122F">
      <w:pPr>
        <w:ind w:left="-18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1371600" cy="1019175"/>
            <wp:effectExtent l="19050" t="0" r="0" b="0"/>
            <wp:wrapNone/>
            <wp:docPr id="4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449A">
        <w:rPr>
          <w:b/>
          <w:noProof/>
          <w:sz w:val="28"/>
          <w:szCs w:val="28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8pt;margin-top:-18pt;width:113.8pt;height:71.35pt;z-index:251660288;mso-wrap-style:none;mso-position-horizontal-relative:text;mso-position-vertical-relative:text" filled="f" stroked="f">
            <v:textbox style="mso-next-textbox:#_x0000_s1026;mso-fit-shape-to-text:t">
              <w:txbxContent>
                <w:p w:rsidR="00CB126C" w:rsidRPr="00256754" w:rsidRDefault="00CB126C" w:rsidP="00B4122F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257300" cy="81915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4122F" w:rsidRDefault="00B4122F" w:rsidP="00B4122F">
      <w:pPr>
        <w:rPr>
          <w:b/>
          <w:sz w:val="28"/>
          <w:szCs w:val="28"/>
        </w:rPr>
      </w:pPr>
    </w:p>
    <w:p w:rsidR="00B4122F" w:rsidRPr="007A4ECA" w:rsidRDefault="00CE449A" w:rsidP="00B4122F">
      <w:pPr>
        <w:tabs>
          <w:tab w:val="left" w:pos="7200"/>
          <w:tab w:val="center" w:pos="9090"/>
        </w:tabs>
        <w:ind w:left="-540" w:right="90" w:hanging="45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pict>
          <v:shape id="_x0000_s1027" type="#_x0000_t202" style="position:absolute;left:0;text-align:left;margin-left:-36pt;margin-top:3.8pt;width:117pt;height:18pt;z-index:251661312" wrapcoords="-150 0 -150 20700 21600 20700 21600 0 -150 0" stroked="f">
            <v:textbox style="mso-next-textbox:#_x0000_s1027">
              <w:txbxContent>
                <w:p w:rsidR="00CB126C" w:rsidRPr="00642379" w:rsidRDefault="00CB126C" w:rsidP="00B4122F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 </w:t>
                  </w:r>
                  <w:r w:rsidRPr="00642379">
                    <w:rPr>
                      <w:sz w:val="14"/>
                      <w:szCs w:val="14"/>
                    </w:rPr>
                    <w:t xml:space="preserve">REPUBLIC OF THE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642379">
                        <w:rPr>
                          <w:sz w:val="14"/>
                          <w:szCs w:val="14"/>
                        </w:rPr>
                        <w:t>GAMBIA</w:t>
                      </w:r>
                    </w:smartTag>
                  </w:smartTag>
                </w:p>
              </w:txbxContent>
            </v:textbox>
            <w10:wrap type="tight"/>
          </v:shape>
        </w:pict>
      </w:r>
    </w:p>
    <w:tbl>
      <w:tblPr>
        <w:tblW w:w="10170" w:type="dxa"/>
        <w:tblInd w:w="-43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CCFFCC"/>
        <w:tblLook w:val="01E0"/>
      </w:tblPr>
      <w:tblGrid>
        <w:gridCol w:w="10170"/>
      </w:tblGrid>
      <w:tr w:rsidR="00B4122F" w:rsidRPr="00962296" w:rsidTr="0021023E">
        <w:trPr>
          <w:trHeight w:val="447"/>
        </w:trPr>
        <w:tc>
          <w:tcPr>
            <w:tcW w:w="10170" w:type="dxa"/>
            <w:shd w:val="clear" w:color="auto" w:fill="CCFFCC"/>
          </w:tcPr>
          <w:p w:rsidR="00DD2AD2" w:rsidRDefault="00DD2AD2" w:rsidP="00DD2AD2">
            <w:pPr>
              <w:jc w:val="both"/>
              <w:rPr>
                <w:rFonts w:ascii="Arial Narrow" w:hAnsi="Arial Narrow"/>
                <w:szCs w:val="22"/>
              </w:rPr>
            </w:pPr>
            <w:r w:rsidRPr="00962296">
              <w:rPr>
                <w:rFonts w:ascii="Arial Narrow" w:hAnsi="Arial Narrow"/>
                <w:szCs w:val="22"/>
              </w:rPr>
              <w:t>Th</w:t>
            </w:r>
            <w:r w:rsidR="00D50DC2">
              <w:rPr>
                <w:rFonts w:ascii="Arial Narrow" w:hAnsi="Arial Narrow"/>
                <w:szCs w:val="22"/>
              </w:rPr>
              <w:t>e Gambia Bureau of Statistics is</w:t>
            </w:r>
            <w:r w:rsidRPr="00962296">
              <w:rPr>
                <w:rFonts w:ascii="Arial Narrow" w:hAnsi="Arial Narrow"/>
                <w:szCs w:val="22"/>
              </w:rPr>
              <w:t xml:space="preserve"> ple</w:t>
            </w:r>
            <w:r>
              <w:rPr>
                <w:rFonts w:ascii="Arial Narrow" w:hAnsi="Arial Narrow"/>
                <w:szCs w:val="22"/>
              </w:rPr>
              <w:t xml:space="preserve">ased to deliver to users </w:t>
            </w:r>
            <w:r w:rsidRPr="00962296">
              <w:rPr>
                <w:rFonts w:ascii="Arial Narrow" w:hAnsi="Arial Narrow"/>
                <w:szCs w:val="22"/>
              </w:rPr>
              <w:t xml:space="preserve"> </w:t>
            </w:r>
            <w:r>
              <w:rPr>
                <w:rFonts w:ascii="Arial Narrow" w:hAnsi="Arial Narrow"/>
                <w:szCs w:val="22"/>
              </w:rPr>
              <w:t>Producer</w:t>
            </w:r>
            <w:r w:rsidRPr="00962296">
              <w:rPr>
                <w:rFonts w:ascii="Arial Narrow" w:hAnsi="Arial Narrow"/>
                <w:szCs w:val="22"/>
              </w:rPr>
              <w:t xml:space="preserve"> Price Index (</w:t>
            </w:r>
            <w:r>
              <w:rPr>
                <w:rFonts w:ascii="Arial Narrow" w:hAnsi="Arial Narrow"/>
                <w:szCs w:val="22"/>
              </w:rPr>
              <w:t xml:space="preserve">PPI)  </w:t>
            </w:r>
            <w:r w:rsidR="00D50DC2">
              <w:rPr>
                <w:rFonts w:ascii="Arial Narrow" w:hAnsi="Arial Narrow"/>
                <w:szCs w:val="22"/>
              </w:rPr>
              <w:t>(</w:t>
            </w:r>
            <w:r>
              <w:rPr>
                <w:rFonts w:ascii="Arial Narrow" w:hAnsi="Arial Narrow"/>
                <w:szCs w:val="22"/>
              </w:rPr>
              <w:t>September 2017 = 100</w:t>
            </w:r>
            <w:r w:rsidRPr="00962296">
              <w:rPr>
                <w:rFonts w:ascii="Arial Narrow" w:hAnsi="Arial Narrow"/>
                <w:szCs w:val="22"/>
              </w:rPr>
              <w:t xml:space="preserve"> </w:t>
            </w:r>
            <w:r w:rsidR="00D50DC2">
              <w:rPr>
                <w:rFonts w:ascii="Arial Narrow" w:hAnsi="Arial Narrow"/>
                <w:szCs w:val="22"/>
              </w:rPr>
              <w:t>)</w:t>
            </w:r>
          </w:p>
          <w:p w:rsidR="00DD2AD2" w:rsidRDefault="00DD2AD2" w:rsidP="00DD2AD2">
            <w:pPr>
              <w:jc w:val="both"/>
              <w:rPr>
                <w:rFonts w:ascii="Arial Narrow" w:hAnsi="Arial Narrow"/>
                <w:szCs w:val="22"/>
              </w:rPr>
            </w:pPr>
          </w:p>
          <w:p w:rsidR="00DD2AD2" w:rsidRDefault="009E63BB" w:rsidP="00DD2AD2">
            <w:pPr>
              <w:jc w:val="both"/>
              <w:rPr>
                <w:rFonts w:ascii="Arial Narrow" w:hAnsi="Arial Narrow"/>
                <w:b/>
                <w:szCs w:val="22"/>
              </w:rPr>
            </w:pPr>
            <w:r>
              <w:rPr>
                <w:rFonts w:ascii="Arial Narrow" w:hAnsi="Arial Narrow"/>
                <w:b/>
                <w:szCs w:val="22"/>
              </w:rPr>
              <w:t xml:space="preserve">                   </w:t>
            </w:r>
            <w:r w:rsidR="00DD2AD2" w:rsidRPr="00962296">
              <w:rPr>
                <w:rFonts w:ascii="Arial Narrow" w:hAnsi="Arial Narrow"/>
                <w:b/>
                <w:szCs w:val="22"/>
              </w:rPr>
              <w:t xml:space="preserve">The </w:t>
            </w:r>
            <w:r w:rsidR="00DD2AD2">
              <w:rPr>
                <w:rFonts w:ascii="Arial Narrow" w:hAnsi="Arial Narrow"/>
                <w:b/>
                <w:szCs w:val="22"/>
              </w:rPr>
              <w:t>P</w:t>
            </w:r>
            <w:r w:rsidR="00DD2AD2" w:rsidRPr="00962296">
              <w:rPr>
                <w:rFonts w:ascii="Arial Narrow" w:hAnsi="Arial Narrow"/>
                <w:b/>
                <w:szCs w:val="22"/>
              </w:rPr>
              <w:t>PI is published every</w:t>
            </w:r>
            <w:r w:rsidR="00DD2AD2">
              <w:rPr>
                <w:rFonts w:ascii="Arial Narrow" w:hAnsi="Arial Narrow"/>
                <w:b/>
                <w:szCs w:val="22"/>
              </w:rPr>
              <w:t xml:space="preserve"> Quarter </w:t>
            </w:r>
            <w:r w:rsidR="00DD2AD2" w:rsidRPr="00962296">
              <w:rPr>
                <w:rFonts w:ascii="Arial Narrow" w:hAnsi="Arial Narrow"/>
                <w:b/>
                <w:szCs w:val="22"/>
              </w:rPr>
              <w:t xml:space="preserve">by the </w:t>
            </w:r>
            <w:r w:rsidR="00DD2AD2">
              <w:rPr>
                <w:rFonts w:ascii="Arial Narrow" w:hAnsi="Arial Narrow"/>
                <w:b/>
                <w:szCs w:val="22"/>
              </w:rPr>
              <w:t xml:space="preserve">middle of the first month of the following quarter. </w:t>
            </w:r>
          </w:p>
          <w:p w:rsidR="00B4122F" w:rsidRPr="00962296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</w:tc>
      </w:tr>
    </w:tbl>
    <w:p w:rsidR="00076E61" w:rsidRDefault="00076E61" w:rsidP="0067591F">
      <w:pPr>
        <w:rPr>
          <w:rFonts w:cs="Arial"/>
        </w:rPr>
      </w:pPr>
    </w:p>
    <w:tbl>
      <w:tblPr>
        <w:tblStyle w:val="TableGrid"/>
        <w:tblW w:w="11610" w:type="dxa"/>
        <w:tblInd w:w="-1062" w:type="dxa"/>
        <w:tblLook w:val="04A0"/>
      </w:tblPr>
      <w:tblGrid>
        <w:gridCol w:w="2700"/>
        <w:gridCol w:w="810"/>
        <w:gridCol w:w="720"/>
        <w:gridCol w:w="900"/>
        <w:gridCol w:w="900"/>
        <w:gridCol w:w="900"/>
        <w:gridCol w:w="900"/>
        <w:gridCol w:w="810"/>
        <w:gridCol w:w="810"/>
        <w:gridCol w:w="1080"/>
        <w:gridCol w:w="1080"/>
      </w:tblGrid>
      <w:tr w:rsidR="00593FE0" w:rsidRPr="00593FE0" w:rsidTr="00593FE0">
        <w:tc>
          <w:tcPr>
            <w:tcW w:w="2700" w:type="dxa"/>
          </w:tcPr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810" w:type="dxa"/>
          </w:tcPr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Weights</w:t>
            </w:r>
          </w:p>
        </w:tc>
        <w:tc>
          <w:tcPr>
            <w:tcW w:w="720" w:type="dxa"/>
          </w:tcPr>
          <w:p w:rsidR="00045224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Sep-</w:t>
            </w:r>
          </w:p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2017</w:t>
            </w:r>
          </w:p>
        </w:tc>
        <w:tc>
          <w:tcPr>
            <w:tcW w:w="900" w:type="dxa"/>
          </w:tcPr>
          <w:p w:rsidR="00045224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Ari-</w:t>
            </w:r>
          </w:p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2018</w:t>
            </w:r>
          </w:p>
        </w:tc>
        <w:tc>
          <w:tcPr>
            <w:tcW w:w="900" w:type="dxa"/>
          </w:tcPr>
          <w:p w:rsidR="00045224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May-</w:t>
            </w:r>
          </w:p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2018</w:t>
            </w:r>
          </w:p>
        </w:tc>
        <w:tc>
          <w:tcPr>
            <w:tcW w:w="900" w:type="dxa"/>
          </w:tcPr>
          <w:p w:rsidR="00045224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Jun-</w:t>
            </w:r>
          </w:p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2018</w:t>
            </w:r>
          </w:p>
        </w:tc>
        <w:tc>
          <w:tcPr>
            <w:tcW w:w="900" w:type="dxa"/>
          </w:tcPr>
          <w:p w:rsidR="00045224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Jul-</w:t>
            </w:r>
          </w:p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2018</w:t>
            </w:r>
          </w:p>
        </w:tc>
        <w:tc>
          <w:tcPr>
            <w:tcW w:w="810" w:type="dxa"/>
          </w:tcPr>
          <w:p w:rsidR="00045224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Aug-</w:t>
            </w:r>
          </w:p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2018</w:t>
            </w:r>
          </w:p>
        </w:tc>
        <w:tc>
          <w:tcPr>
            <w:tcW w:w="810" w:type="dxa"/>
          </w:tcPr>
          <w:p w:rsidR="00045224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Sep-</w:t>
            </w:r>
          </w:p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2018</w:t>
            </w:r>
          </w:p>
        </w:tc>
        <w:tc>
          <w:tcPr>
            <w:tcW w:w="1080" w:type="dxa"/>
          </w:tcPr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Qty Inflation</w:t>
            </w:r>
          </w:p>
        </w:tc>
        <w:tc>
          <w:tcPr>
            <w:tcW w:w="1080" w:type="dxa"/>
          </w:tcPr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 xml:space="preserve">Point to </w:t>
            </w:r>
            <w:r w:rsidR="005D3083" w:rsidRPr="00593FE0">
              <w:rPr>
                <w:rFonts w:asciiTheme="minorHAnsi" w:hAnsiTheme="minorHAnsi" w:cs="Arial"/>
                <w:sz w:val="16"/>
                <w:szCs w:val="16"/>
              </w:rPr>
              <w:t>Point Inflation</w:t>
            </w:r>
          </w:p>
        </w:tc>
      </w:tr>
      <w:tr w:rsidR="00593FE0" w:rsidRPr="00593FE0" w:rsidTr="00593FE0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All items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101.68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102.64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103.32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105.99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106.14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3.14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6.14</w:t>
            </w:r>
          </w:p>
        </w:tc>
      </w:tr>
      <w:tr w:rsidR="00593FE0" w:rsidRPr="00593FE0" w:rsidTr="00593FE0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Stone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1.43</w:t>
            </w:r>
          </w:p>
        </w:tc>
        <w:tc>
          <w:tcPr>
            <w:tcW w:w="72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106.25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106.25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106.25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108.83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109.20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109.56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2.81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9.56</w:t>
            </w:r>
          </w:p>
        </w:tc>
      </w:tr>
      <w:tr w:rsidR="00593FE0" w:rsidRPr="00593FE0" w:rsidTr="00593FE0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Sand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72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</w:tr>
      <w:tr w:rsidR="00593FE0" w:rsidRPr="00593FE0" w:rsidTr="00593FE0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Processed and preserved fish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8.66</w:t>
            </w:r>
          </w:p>
        </w:tc>
        <w:tc>
          <w:tcPr>
            <w:tcW w:w="72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105.13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105.28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105.49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107.32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111.13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114.79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5.48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14.79</w:t>
            </w:r>
          </w:p>
        </w:tc>
      </w:tr>
      <w:tr w:rsidR="00593FE0" w:rsidRPr="00593FE0" w:rsidTr="00593FE0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Nuts, vegetable, animal oil and fats 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2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108.35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108.35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108.35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108.35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108.35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108.35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8.35</w:t>
            </w:r>
          </w:p>
        </w:tc>
      </w:tr>
      <w:tr w:rsidR="00593FE0" w:rsidRPr="00593FE0" w:rsidTr="00593FE0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Diary product S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72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</w:tr>
      <w:tr w:rsidR="00593FE0" w:rsidRPr="00593FE0" w:rsidTr="00593FE0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Grain mill Product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0.58</w:t>
            </w:r>
          </w:p>
        </w:tc>
        <w:tc>
          <w:tcPr>
            <w:tcW w:w="72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</w:tr>
      <w:tr w:rsidR="00593FE0" w:rsidRPr="00593FE0" w:rsidTr="00593FE0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Bakery Products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12.40</w:t>
            </w:r>
          </w:p>
        </w:tc>
        <w:tc>
          <w:tcPr>
            <w:tcW w:w="72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100.15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100.89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99.04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99.04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99.04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96.96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-1.69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-3.04</w:t>
            </w:r>
          </w:p>
        </w:tc>
      </w:tr>
      <w:tr w:rsidR="00593FE0" w:rsidRPr="00593FE0" w:rsidTr="00593FE0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foods products  n. e. c.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1.47</w:t>
            </w:r>
          </w:p>
        </w:tc>
        <w:tc>
          <w:tcPr>
            <w:tcW w:w="72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99.09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100.45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101.11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101.25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101.77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102.17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1.52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2.17</w:t>
            </w:r>
          </w:p>
        </w:tc>
      </w:tr>
      <w:tr w:rsidR="00593FE0" w:rsidRPr="00593FE0" w:rsidTr="00593FE0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Prepared animal feed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2.44</w:t>
            </w:r>
          </w:p>
        </w:tc>
        <w:tc>
          <w:tcPr>
            <w:tcW w:w="72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</w:tr>
      <w:tr w:rsidR="00593FE0" w:rsidRPr="00593FE0" w:rsidTr="00593FE0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Beverages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72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</w:tr>
      <w:tr w:rsidR="00593FE0" w:rsidRPr="00593FE0" w:rsidTr="00593FE0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Soft drinks  and mineral water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17.60</w:t>
            </w:r>
          </w:p>
        </w:tc>
        <w:tc>
          <w:tcPr>
            <w:tcW w:w="72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104.53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102.65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102.65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3.25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2.65</w:t>
            </w:r>
          </w:p>
        </w:tc>
      </w:tr>
      <w:tr w:rsidR="00593FE0" w:rsidRPr="00593FE0" w:rsidTr="00593FE0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Clothing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29.87</w:t>
            </w:r>
          </w:p>
        </w:tc>
        <w:tc>
          <w:tcPr>
            <w:tcW w:w="72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102.96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105.66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108.44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110.95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113.37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113.37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6.60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13.37</w:t>
            </w:r>
          </w:p>
        </w:tc>
      </w:tr>
      <w:tr w:rsidR="00593FE0" w:rsidRPr="00593FE0" w:rsidTr="00593FE0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Leather and related products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2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102.57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102.57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102.57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102.57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102.57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102.57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2.57</w:t>
            </w:r>
          </w:p>
        </w:tc>
      </w:tr>
      <w:tr w:rsidR="00593FE0" w:rsidRPr="00593FE0" w:rsidTr="00593FE0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Wood products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0.84</w:t>
            </w:r>
          </w:p>
        </w:tc>
        <w:tc>
          <w:tcPr>
            <w:tcW w:w="72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100.93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102.19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103.66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105.89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108.24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110.34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5.73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10.34</w:t>
            </w:r>
          </w:p>
        </w:tc>
      </w:tr>
      <w:tr w:rsidR="00593FE0" w:rsidRPr="00593FE0" w:rsidTr="00593FE0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Printing service activities ,related to printing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2.15</w:t>
            </w:r>
          </w:p>
        </w:tc>
        <w:tc>
          <w:tcPr>
            <w:tcW w:w="72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</w:tr>
      <w:tr w:rsidR="00593FE0" w:rsidRPr="00593FE0" w:rsidTr="00593FE0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Fuel for Industrial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1.13</w:t>
            </w:r>
          </w:p>
        </w:tc>
        <w:tc>
          <w:tcPr>
            <w:tcW w:w="72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100.87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101.97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3.01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3.99</w:t>
            </w:r>
          </w:p>
        </w:tc>
      </w:tr>
      <w:tr w:rsidR="00593FE0" w:rsidRPr="00593FE0" w:rsidTr="00593FE0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Soap, detergents, cleaning and polishing preparation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2.49</w:t>
            </w:r>
          </w:p>
        </w:tc>
        <w:tc>
          <w:tcPr>
            <w:tcW w:w="72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100.30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100.48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100.66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0.36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0.85</w:t>
            </w:r>
          </w:p>
        </w:tc>
      </w:tr>
      <w:tr w:rsidR="00593FE0" w:rsidRPr="00593FE0" w:rsidTr="00593FE0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non-metallic mineral products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72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102.96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102.96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102.96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102.96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102.96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102.96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2.96</w:t>
            </w:r>
          </w:p>
        </w:tc>
      </w:tr>
      <w:tr w:rsidR="00593FE0" w:rsidRPr="00593FE0" w:rsidTr="00593FE0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Metal products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8.16</w:t>
            </w:r>
          </w:p>
        </w:tc>
        <w:tc>
          <w:tcPr>
            <w:tcW w:w="72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100.07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100.11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100.19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0.19</w:t>
            </w:r>
          </w:p>
        </w:tc>
      </w:tr>
      <w:tr w:rsidR="00593FE0" w:rsidRPr="00593FE0" w:rsidTr="00593FE0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fabricated metal product n. e. c.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72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102.69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102.69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102.69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102.69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102.69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102.69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2.69</w:t>
            </w:r>
          </w:p>
        </w:tc>
      </w:tr>
      <w:tr w:rsidR="00593FE0" w:rsidRPr="00593FE0" w:rsidTr="00593FE0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Furniture 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7.46</w:t>
            </w:r>
          </w:p>
        </w:tc>
        <w:tc>
          <w:tcPr>
            <w:tcW w:w="72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102.90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103.08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103.25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104.10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104.86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105.63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1.75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5.63</w:t>
            </w:r>
          </w:p>
        </w:tc>
      </w:tr>
      <w:tr w:rsidR="00593FE0" w:rsidRPr="00593FE0" w:rsidTr="00593FE0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Ornaments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72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</w:tr>
      <w:tr w:rsidR="00593FE0" w:rsidRPr="00593FE0" w:rsidTr="00593FE0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Repair of electrical equipments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0.69</w:t>
            </w:r>
          </w:p>
        </w:tc>
        <w:tc>
          <w:tcPr>
            <w:tcW w:w="72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</w:tr>
      <w:tr w:rsidR="00593FE0" w:rsidRPr="00593FE0" w:rsidTr="00593FE0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Repair of transport equipments except motor vehicle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72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80" w:type="dxa"/>
            <w:vAlign w:val="bottom"/>
          </w:tcPr>
          <w:p w:rsidR="00593FE0" w:rsidRP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</w:tr>
      <w:tr w:rsidR="00593FE0" w:rsidRPr="00593FE0" w:rsidTr="00593FE0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81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593FE0" w:rsidRPr="00593FE0" w:rsidRDefault="00593FE0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900" w:type="dxa"/>
          </w:tcPr>
          <w:p w:rsidR="00593FE0" w:rsidRPr="00593FE0" w:rsidRDefault="00593FE0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900" w:type="dxa"/>
          </w:tcPr>
          <w:p w:rsidR="00593FE0" w:rsidRPr="00593FE0" w:rsidRDefault="00593FE0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900" w:type="dxa"/>
          </w:tcPr>
          <w:p w:rsidR="00593FE0" w:rsidRPr="00593FE0" w:rsidRDefault="00593FE0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900" w:type="dxa"/>
          </w:tcPr>
          <w:p w:rsidR="00593FE0" w:rsidRPr="00593FE0" w:rsidRDefault="00593FE0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810" w:type="dxa"/>
          </w:tcPr>
          <w:p w:rsidR="00593FE0" w:rsidRPr="00593FE0" w:rsidRDefault="00593FE0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810" w:type="dxa"/>
          </w:tcPr>
          <w:p w:rsidR="00593FE0" w:rsidRPr="00593FE0" w:rsidRDefault="00593FE0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080" w:type="dxa"/>
          </w:tcPr>
          <w:p w:rsidR="00593FE0" w:rsidRPr="00593FE0" w:rsidRDefault="00593FE0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080" w:type="dxa"/>
          </w:tcPr>
          <w:p w:rsidR="00593FE0" w:rsidRPr="00593FE0" w:rsidRDefault="00593FE0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593FE0" w:rsidRPr="00593FE0" w:rsidTr="00CB126C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12 Month Moving Average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93.82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92.60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92.58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92.61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92.95</w:t>
            </w:r>
          </w:p>
        </w:tc>
        <w:tc>
          <w:tcPr>
            <w:tcW w:w="81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101.78</w:t>
            </w:r>
          </w:p>
        </w:tc>
        <w:tc>
          <w:tcPr>
            <w:tcW w:w="81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102.29</w:t>
            </w:r>
          </w:p>
        </w:tc>
        <w:tc>
          <w:tcPr>
            <w:tcW w:w="108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6.92</w:t>
            </w:r>
          </w:p>
        </w:tc>
        <w:tc>
          <w:tcPr>
            <w:tcW w:w="1080" w:type="dxa"/>
            <w:vAlign w:val="bottom"/>
          </w:tcPr>
          <w:p w:rsidR="00593FE0" w:rsidRDefault="00C7564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9.19</w:t>
            </w:r>
          </w:p>
        </w:tc>
      </w:tr>
      <w:tr w:rsidR="00593FE0" w:rsidRPr="00593FE0" w:rsidTr="00CB126C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All items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593FE0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101.68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102.64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103.32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81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105.99</w:t>
            </w:r>
          </w:p>
        </w:tc>
        <w:tc>
          <w:tcPr>
            <w:tcW w:w="81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106.14</w:t>
            </w:r>
          </w:p>
        </w:tc>
        <w:tc>
          <w:tcPr>
            <w:tcW w:w="108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3.14</w:t>
            </w:r>
          </w:p>
        </w:tc>
        <w:tc>
          <w:tcPr>
            <w:tcW w:w="108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6.14</w:t>
            </w:r>
          </w:p>
        </w:tc>
      </w:tr>
      <w:tr w:rsidR="00593FE0" w:rsidRPr="00593FE0" w:rsidTr="00CB126C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Monthly changes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593FE0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-1.17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0.81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0.95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0.66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1.80</w:t>
            </w:r>
          </w:p>
        </w:tc>
        <w:tc>
          <w:tcPr>
            <w:tcW w:w="81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81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1080" w:type="dxa"/>
            <w:vAlign w:val="bottom"/>
          </w:tcPr>
          <w:p w:rsidR="00593FE0" w:rsidRDefault="00593FE0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vAlign w:val="bottom"/>
          </w:tcPr>
          <w:p w:rsidR="00593FE0" w:rsidRDefault="00593FE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593FE0" w:rsidRPr="00593FE0" w:rsidTr="00CB126C">
        <w:tc>
          <w:tcPr>
            <w:tcW w:w="2700" w:type="dxa"/>
          </w:tcPr>
          <w:p w:rsidR="00593FE0" w:rsidRPr="00593FE0" w:rsidRDefault="00861EDC" w:rsidP="00861EDC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All f</w:t>
            </w:r>
            <w:r w:rsidR="00593FE0" w:rsidRPr="00593FE0">
              <w:rPr>
                <w:rFonts w:asciiTheme="minorHAnsi" w:hAnsiTheme="minorHAnsi" w:cs="Arial"/>
                <w:sz w:val="16"/>
                <w:szCs w:val="16"/>
              </w:rPr>
              <w:t>ood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593FE0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25.83</w:t>
            </w:r>
          </w:p>
        </w:tc>
        <w:tc>
          <w:tcPr>
            <w:tcW w:w="72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101.78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102.26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101.48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102.10</w:t>
            </w:r>
          </w:p>
        </w:tc>
        <w:tc>
          <w:tcPr>
            <w:tcW w:w="81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103.41</w:t>
            </w:r>
          </w:p>
        </w:tc>
        <w:tc>
          <w:tcPr>
            <w:tcW w:w="81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103.66</w:t>
            </w:r>
          </w:p>
        </w:tc>
        <w:tc>
          <w:tcPr>
            <w:tcW w:w="108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1.20</w:t>
            </w:r>
          </w:p>
        </w:tc>
        <w:tc>
          <w:tcPr>
            <w:tcW w:w="108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3.66</w:t>
            </w:r>
          </w:p>
        </w:tc>
      </w:tr>
      <w:tr w:rsidR="00593FE0" w:rsidRPr="00593FE0" w:rsidTr="00CB126C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Drinks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593FE0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17.95</w:t>
            </w:r>
          </w:p>
        </w:tc>
        <w:tc>
          <w:tcPr>
            <w:tcW w:w="72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104.44</w:t>
            </w:r>
          </w:p>
        </w:tc>
        <w:tc>
          <w:tcPr>
            <w:tcW w:w="81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102.60</w:t>
            </w:r>
          </w:p>
        </w:tc>
        <w:tc>
          <w:tcPr>
            <w:tcW w:w="81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102.60</w:t>
            </w:r>
          </w:p>
        </w:tc>
        <w:tc>
          <w:tcPr>
            <w:tcW w:w="108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3.19</w:t>
            </w:r>
          </w:p>
        </w:tc>
        <w:tc>
          <w:tcPr>
            <w:tcW w:w="108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2.60</w:t>
            </w:r>
          </w:p>
        </w:tc>
      </w:tr>
      <w:tr w:rsidR="00593FE0" w:rsidRPr="00593FE0" w:rsidTr="00CB126C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Non-food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593FE0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53.30</w:t>
            </w:r>
          </w:p>
        </w:tc>
        <w:tc>
          <w:tcPr>
            <w:tcW w:w="72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102.12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103.70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105.34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106.96</w:t>
            </w:r>
          </w:p>
        </w:tc>
        <w:tc>
          <w:tcPr>
            <w:tcW w:w="81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108.47</w:t>
            </w:r>
          </w:p>
        </w:tc>
        <w:tc>
          <w:tcPr>
            <w:tcW w:w="81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108.62</w:t>
            </w:r>
          </w:p>
        </w:tc>
        <w:tc>
          <w:tcPr>
            <w:tcW w:w="108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4.18</w:t>
            </w:r>
          </w:p>
        </w:tc>
        <w:tc>
          <w:tcPr>
            <w:tcW w:w="108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8.62</w:t>
            </w:r>
          </w:p>
        </w:tc>
      </w:tr>
      <w:tr w:rsidR="00593FE0" w:rsidRPr="00593FE0" w:rsidTr="00CB126C">
        <w:tc>
          <w:tcPr>
            <w:tcW w:w="2700" w:type="dxa"/>
          </w:tcPr>
          <w:p w:rsidR="00593FE0" w:rsidRPr="00593FE0" w:rsidRDefault="00593FE0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Industrial service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593FE0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72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108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8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0.00</w:t>
            </w:r>
          </w:p>
        </w:tc>
      </w:tr>
      <w:tr w:rsidR="00593FE0" w:rsidRPr="00593FE0" w:rsidTr="00CB126C">
        <w:tc>
          <w:tcPr>
            <w:tcW w:w="2700" w:type="dxa"/>
          </w:tcPr>
          <w:p w:rsidR="00593FE0" w:rsidRPr="00593FE0" w:rsidRDefault="00593FE0" w:rsidP="00593FE0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 xml:space="preserve">Quarrying  </w:t>
            </w:r>
            <w:r w:rsidR="00861EDC">
              <w:rPr>
                <w:rFonts w:asciiTheme="minorHAnsi" w:hAnsiTheme="minorHAnsi" w:cs="Arial"/>
                <w:sz w:val="16"/>
                <w:szCs w:val="16"/>
              </w:rPr>
              <w:t xml:space="preserve">Stone and Sand </w:t>
            </w:r>
            <w:r w:rsidRPr="00593FE0">
              <w:rPr>
                <w:rFonts w:asciiTheme="minorHAnsi" w:hAnsiTheme="minorHAnsi" w:cs="Arial"/>
                <w:sz w:val="16"/>
                <w:szCs w:val="16"/>
              </w:rPr>
              <w:t>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593FE0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2.05</w:t>
            </w:r>
          </w:p>
        </w:tc>
        <w:tc>
          <w:tcPr>
            <w:tcW w:w="72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104.38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104.38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104.38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106.18</w:t>
            </w:r>
          </w:p>
        </w:tc>
        <w:tc>
          <w:tcPr>
            <w:tcW w:w="81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106.44</w:t>
            </w:r>
          </w:p>
        </w:tc>
        <w:tc>
          <w:tcPr>
            <w:tcW w:w="81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106.70</w:t>
            </w:r>
          </w:p>
        </w:tc>
        <w:tc>
          <w:tcPr>
            <w:tcW w:w="108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2.00</w:t>
            </w:r>
          </w:p>
        </w:tc>
        <w:tc>
          <w:tcPr>
            <w:tcW w:w="108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6.70</w:t>
            </w:r>
          </w:p>
        </w:tc>
      </w:tr>
      <w:tr w:rsidR="00593FE0" w:rsidRPr="00593FE0" w:rsidTr="00CB126C">
        <w:tc>
          <w:tcPr>
            <w:tcW w:w="2700" w:type="dxa"/>
          </w:tcPr>
          <w:p w:rsidR="00593FE0" w:rsidRPr="00593FE0" w:rsidRDefault="00593FE0" w:rsidP="00861ED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Quarterly Index</w:t>
            </w:r>
          </w:p>
        </w:tc>
        <w:tc>
          <w:tcPr>
            <w:tcW w:w="810" w:type="dxa"/>
            <w:vAlign w:val="bottom"/>
          </w:tcPr>
          <w:p w:rsidR="00593FE0" w:rsidRPr="00593FE0" w:rsidRDefault="00593FE0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101.36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102.55</w:t>
            </w:r>
          </w:p>
        </w:tc>
        <w:tc>
          <w:tcPr>
            <w:tcW w:w="900" w:type="dxa"/>
            <w:vAlign w:val="bottom"/>
          </w:tcPr>
          <w:p w:rsidR="00593FE0" w:rsidRDefault="00593FE0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0" w:type="dxa"/>
            <w:vAlign w:val="bottom"/>
          </w:tcPr>
          <w:p w:rsidR="00593FE0" w:rsidRDefault="00593FE0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105.77</w:t>
            </w:r>
          </w:p>
        </w:tc>
        <w:tc>
          <w:tcPr>
            <w:tcW w:w="1080" w:type="dxa"/>
            <w:vAlign w:val="bottom"/>
          </w:tcPr>
          <w:p w:rsidR="00593FE0" w:rsidRDefault="00593FE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3.14</w:t>
            </w:r>
          </w:p>
        </w:tc>
        <w:tc>
          <w:tcPr>
            <w:tcW w:w="1080" w:type="dxa"/>
            <w:vAlign w:val="bottom"/>
          </w:tcPr>
          <w:p w:rsidR="00593FE0" w:rsidRDefault="00593FE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</w:tbl>
    <w:p w:rsidR="00FD3BBB" w:rsidRDefault="00FD3BBB" w:rsidP="0067591F">
      <w:pPr>
        <w:rPr>
          <w:rFonts w:cs="Arial"/>
        </w:rPr>
      </w:pPr>
    </w:p>
    <w:p w:rsidR="000C30AD" w:rsidRPr="0055336B" w:rsidRDefault="00CB2530" w:rsidP="000C30AD">
      <w:pPr>
        <w:rPr>
          <w:rFonts w:asciiTheme="minorHAnsi" w:hAnsiTheme="minorHAnsi" w:cs="Arial"/>
          <w:sz w:val="24"/>
          <w:szCs w:val="24"/>
        </w:rPr>
      </w:pPr>
      <w:r w:rsidRPr="0055336B">
        <w:rPr>
          <w:rFonts w:asciiTheme="minorHAnsi" w:hAnsiTheme="minorHAnsi" w:cs="Arial"/>
          <w:sz w:val="24"/>
          <w:szCs w:val="24"/>
        </w:rPr>
        <w:lastRenderedPageBreak/>
        <w:t xml:space="preserve">The producer price </w:t>
      </w:r>
      <w:r w:rsidR="00EB538A" w:rsidRPr="0055336B">
        <w:rPr>
          <w:rFonts w:asciiTheme="minorHAnsi" w:hAnsiTheme="minorHAnsi" w:cs="Arial"/>
          <w:sz w:val="24"/>
          <w:szCs w:val="24"/>
        </w:rPr>
        <w:t>Index (PPI) Basket measured on quarterly basis recor</w:t>
      </w:r>
      <w:r w:rsidR="00D41C5E">
        <w:rPr>
          <w:rFonts w:asciiTheme="minorHAnsi" w:hAnsiTheme="minorHAnsi" w:cs="Arial"/>
          <w:sz w:val="24"/>
          <w:szCs w:val="24"/>
        </w:rPr>
        <w:t>ded an inflationary rate of 3.14% in September</w:t>
      </w:r>
      <w:r w:rsidR="00E8365D">
        <w:rPr>
          <w:rFonts w:asciiTheme="minorHAnsi" w:hAnsiTheme="minorHAnsi" w:cs="Arial"/>
          <w:sz w:val="24"/>
          <w:szCs w:val="24"/>
        </w:rPr>
        <w:t xml:space="preserve"> </w:t>
      </w:r>
      <w:r w:rsidR="00EB538A" w:rsidRPr="0055336B">
        <w:rPr>
          <w:rFonts w:asciiTheme="minorHAnsi" w:hAnsiTheme="minorHAnsi" w:cs="Arial"/>
          <w:sz w:val="24"/>
          <w:szCs w:val="24"/>
        </w:rPr>
        <w:t xml:space="preserve">2018 </w:t>
      </w:r>
      <w:r w:rsidR="00D41C5E">
        <w:rPr>
          <w:rFonts w:asciiTheme="minorHAnsi" w:hAnsiTheme="minorHAnsi" w:cs="Arial"/>
          <w:sz w:val="24"/>
          <w:szCs w:val="24"/>
        </w:rPr>
        <w:t>(third</w:t>
      </w:r>
      <w:r w:rsidR="00E8365D">
        <w:rPr>
          <w:rFonts w:asciiTheme="minorHAnsi" w:hAnsiTheme="minorHAnsi" w:cs="Arial"/>
          <w:sz w:val="24"/>
          <w:szCs w:val="24"/>
        </w:rPr>
        <w:t xml:space="preserve"> </w:t>
      </w:r>
      <w:r w:rsidR="00D50DC2">
        <w:rPr>
          <w:rFonts w:asciiTheme="minorHAnsi" w:hAnsiTheme="minorHAnsi" w:cs="Arial"/>
          <w:sz w:val="24"/>
          <w:szCs w:val="24"/>
        </w:rPr>
        <w:t>quarter) where</w:t>
      </w:r>
      <w:r w:rsidR="00D41C5E">
        <w:rPr>
          <w:rFonts w:asciiTheme="minorHAnsi" w:hAnsiTheme="minorHAnsi" w:cs="Arial"/>
          <w:sz w:val="24"/>
          <w:szCs w:val="24"/>
        </w:rPr>
        <w:t>as it was 1.85%, June 2018 (second</w:t>
      </w:r>
      <w:r w:rsidR="00DB5F38" w:rsidRPr="0055336B">
        <w:rPr>
          <w:rFonts w:asciiTheme="minorHAnsi" w:hAnsiTheme="minorHAnsi" w:cs="Arial"/>
          <w:sz w:val="24"/>
          <w:szCs w:val="24"/>
        </w:rPr>
        <w:t xml:space="preserve"> </w:t>
      </w:r>
      <w:r w:rsidR="00730B21" w:rsidRPr="0055336B">
        <w:rPr>
          <w:rFonts w:asciiTheme="minorHAnsi" w:hAnsiTheme="minorHAnsi" w:cs="Arial"/>
          <w:sz w:val="24"/>
          <w:szCs w:val="24"/>
        </w:rPr>
        <w:t>q</w:t>
      </w:r>
      <w:r w:rsidR="00D50DC2">
        <w:rPr>
          <w:rFonts w:asciiTheme="minorHAnsi" w:hAnsiTheme="minorHAnsi" w:cs="Arial"/>
          <w:sz w:val="24"/>
          <w:szCs w:val="24"/>
        </w:rPr>
        <w:t>uarter), t</w:t>
      </w:r>
      <w:r w:rsidR="0081688E" w:rsidRPr="0055336B">
        <w:rPr>
          <w:rFonts w:asciiTheme="minorHAnsi" w:hAnsiTheme="minorHAnsi" w:cs="Arial"/>
          <w:sz w:val="24"/>
          <w:szCs w:val="24"/>
        </w:rPr>
        <w:t xml:space="preserve">hat is </w:t>
      </w:r>
      <w:r w:rsidR="006A16B7">
        <w:rPr>
          <w:rFonts w:asciiTheme="minorHAnsi" w:hAnsiTheme="minorHAnsi" w:cs="Arial"/>
          <w:sz w:val="24"/>
          <w:szCs w:val="24"/>
        </w:rPr>
        <w:t>from Index of 102.55 June 2018 to Index of 105.77 September</w:t>
      </w:r>
      <w:r w:rsidR="0081688E" w:rsidRPr="0055336B">
        <w:rPr>
          <w:rFonts w:asciiTheme="minorHAnsi" w:hAnsiTheme="minorHAnsi" w:cs="Arial"/>
          <w:sz w:val="24"/>
          <w:szCs w:val="24"/>
        </w:rPr>
        <w:t xml:space="preserve"> 2018.</w:t>
      </w:r>
      <w:r w:rsidR="00730B21" w:rsidRPr="0055336B">
        <w:rPr>
          <w:rFonts w:asciiTheme="minorHAnsi" w:hAnsiTheme="minorHAnsi" w:cs="Arial"/>
          <w:sz w:val="24"/>
          <w:szCs w:val="24"/>
        </w:rPr>
        <w:t xml:space="preserve"> </w:t>
      </w:r>
      <w:r w:rsidR="00D50DC2">
        <w:rPr>
          <w:rFonts w:asciiTheme="minorHAnsi" w:hAnsiTheme="minorHAnsi" w:cs="Arial"/>
          <w:sz w:val="24"/>
          <w:szCs w:val="24"/>
        </w:rPr>
        <w:t>The increase</w:t>
      </w:r>
      <w:r w:rsidR="0081688E" w:rsidRPr="0055336B">
        <w:rPr>
          <w:rFonts w:asciiTheme="minorHAnsi" w:hAnsiTheme="minorHAnsi" w:cs="Arial"/>
          <w:sz w:val="24"/>
          <w:szCs w:val="24"/>
        </w:rPr>
        <w:t xml:space="preserve"> was the result of price rise in: non-food </w:t>
      </w:r>
      <w:r w:rsidR="00D50DC2">
        <w:rPr>
          <w:rFonts w:asciiTheme="minorHAnsi" w:hAnsiTheme="minorHAnsi" w:cs="Arial"/>
          <w:sz w:val="24"/>
          <w:szCs w:val="24"/>
        </w:rPr>
        <w:t>(</w:t>
      </w:r>
      <w:r w:rsidR="0029319C">
        <w:rPr>
          <w:rFonts w:asciiTheme="minorHAnsi" w:hAnsiTheme="minorHAnsi" w:cs="Arial"/>
          <w:sz w:val="24"/>
          <w:szCs w:val="24"/>
        </w:rPr>
        <w:t>4.18</w:t>
      </w:r>
      <w:r w:rsidR="0081688E" w:rsidRPr="0055336B">
        <w:rPr>
          <w:rFonts w:asciiTheme="minorHAnsi" w:hAnsiTheme="minorHAnsi" w:cs="Arial"/>
          <w:sz w:val="24"/>
          <w:szCs w:val="24"/>
        </w:rPr>
        <w:t>%</w:t>
      </w:r>
      <w:r w:rsidR="00D50DC2">
        <w:rPr>
          <w:rFonts w:asciiTheme="minorHAnsi" w:hAnsiTheme="minorHAnsi" w:cs="Arial"/>
          <w:sz w:val="24"/>
          <w:szCs w:val="24"/>
        </w:rPr>
        <w:t>);</w:t>
      </w:r>
      <w:r w:rsidR="00730B21" w:rsidRPr="0055336B">
        <w:rPr>
          <w:rFonts w:asciiTheme="minorHAnsi" w:hAnsiTheme="minorHAnsi" w:cs="Arial"/>
          <w:sz w:val="24"/>
          <w:szCs w:val="24"/>
        </w:rPr>
        <w:t xml:space="preserve"> </w:t>
      </w:r>
      <w:r w:rsidR="0029319C">
        <w:rPr>
          <w:rFonts w:asciiTheme="minorHAnsi" w:hAnsiTheme="minorHAnsi" w:cs="Arial"/>
          <w:sz w:val="24"/>
          <w:szCs w:val="24"/>
        </w:rPr>
        <w:t>drinks</w:t>
      </w:r>
      <w:r w:rsidR="00730B21" w:rsidRPr="0055336B">
        <w:rPr>
          <w:rFonts w:asciiTheme="minorHAnsi" w:hAnsiTheme="minorHAnsi" w:cs="Arial"/>
          <w:sz w:val="24"/>
          <w:szCs w:val="24"/>
        </w:rPr>
        <w:t xml:space="preserve"> </w:t>
      </w:r>
      <w:r w:rsidR="00D50DC2">
        <w:rPr>
          <w:rFonts w:asciiTheme="minorHAnsi" w:hAnsiTheme="minorHAnsi" w:cs="Arial"/>
          <w:sz w:val="24"/>
          <w:szCs w:val="24"/>
        </w:rPr>
        <w:t>(</w:t>
      </w:r>
      <w:r w:rsidR="00351CC6">
        <w:rPr>
          <w:rFonts w:asciiTheme="minorHAnsi" w:hAnsiTheme="minorHAnsi" w:cs="Arial"/>
          <w:sz w:val="24"/>
          <w:szCs w:val="24"/>
        </w:rPr>
        <w:t>3.19</w:t>
      </w:r>
      <w:r w:rsidR="00730B21" w:rsidRPr="0055336B">
        <w:rPr>
          <w:rFonts w:asciiTheme="minorHAnsi" w:hAnsiTheme="minorHAnsi" w:cs="Arial"/>
          <w:sz w:val="24"/>
          <w:szCs w:val="24"/>
        </w:rPr>
        <w:t>%</w:t>
      </w:r>
      <w:r w:rsidR="00D50DC2">
        <w:rPr>
          <w:rFonts w:asciiTheme="minorHAnsi" w:hAnsiTheme="minorHAnsi" w:cs="Arial"/>
          <w:sz w:val="24"/>
          <w:szCs w:val="24"/>
        </w:rPr>
        <w:t>)</w:t>
      </w:r>
      <w:r w:rsidR="000B6EA5">
        <w:rPr>
          <w:rFonts w:asciiTheme="minorHAnsi" w:hAnsiTheme="minorHAnsi" w:cs="Arial"/>
          <w:sz w:val="24"/>
          <w:szCs w:val="24"/>
        </w:rPr>
        <w:t xml:space="preserve">; </w:t>
      </w:r>
      <w:r w:rsidR="00266B3B" w:rsidRPr="00266B3B">
        <w:rPr>
          <w:rFonts w:asciiTheme="minorHAnsi" w:hAnsiTheme="minorHAnsi" w:cs="Arial"/>
          <w:sz w:val="24"/>
          <w:szCs w:val="24"/>
        </w:rPr>
        <w:t>Quarrying of stone and sand Index</w:t>
      </w:r>
      <w:r w:rsidR="000B6EA5">
        <w:rPr>
          <w:rFonts w:asciiTheme="minorHAnsi" w:hAnsiTheme="minorHAnsi" w:cs="Arial"/>
          <w:sz w:val="24"/>
          <w:szCs w:val="24"/>
        </w:rPr>
        <w:t xml:space="preserve"> </w:t>
      </w:r>
      <w:r w:rsidR="00BE1BAF">
        <w:rPr>
          <w:rFonts w:asciiTheme="minorHAnsi" w:hAnsiTheme="minorHAnsi" w:cs="Arial"/>
          <w:sz w:val="24"/>
          <w:szCs w:val="24"/>
        </w:rPr>
        <w:t>(</w:t>
      </w:r>
      <w:r w:rsidR="000B6EA5">
        <w:rPr>
          <w:rFonts w:asciiTheme="minorHAnsi" w:hAnsiTheme="minorHAnsi" w:cs="Arial"/>
          <w:sz w:val="24"/>
          <w:szCs w:val="24"/>
        </w:rPr>
        <w:t>2.</w:t>
      </w:r>
      <w:r w:rsidR="00BD1036">
        <w:rPr>
          <w:rFonts w:asciiTheme="minorHAnsi" w:hAnsiTheme="minorHAnsi" w:cs="Arial"/>
          <w:sz w:val="24"/>
          <w:szCs w:val="24"/>
        </w:rPr>
        <w:t>00</w:t>
      </w:r>
      <w:r w:rsidR="000B6EA5">
        <w:rPr>
          <w:rFonts w:asciiTheme="minorHAnsi" w:hAnsiTheme="minorHAnsi" w:cs="Arial"/>
          <w:sz w:val="24"/>
          <w:szCs w:val="24"/>
        </w:rPr>
        <w:t>%</w:t>
      </w:r>
      <w:r w:rsidR="00BE1BAF">
        <w:rPr>
          <w:rFonts w:asciiTheme="minorHAnsi" w:hAnsiTheme="minorHAnsi" w:cs="Arial"/>
          <w:sz w:val="24"/>
          <w:szCs w:val="24"/>
        </w:rPr>
        <w:t>)</w:t>
      </w:r>
      <w:r w:rsidR="000B6EA5">
        <w:rPr>
          <w:rFonts w:asciiTheme="minorHAnsi" w:hAnsiTheme="minorHAnsi" w:cs="Arial"/>
          <w:sz w:val="24"/>
          <w:szCs w:val="24"/>
        </w:rPr>
        <w:t xml:space="preserve"> </w:t>
      </w:r>
      <w:r w:rsidR="00C45D0C">
        <w:rPr>
          <w:rFonts w:asciiTheme="minorHAnsi" w:hAnsiTheme="minorHAnsi" w:cs="Arial"/>
          <w:sz w:val="24"/>
          <w:szCs w:val="24"/>
        </w:rPr>
        <w:t>and</w:t>
      </w:r>
      <w:r w:rsidR="00C45D0C" w:rsidRPr="00C45D0C">
        <w:rPr>
          <w:rFonts w:asciiTheme="minorHAnsi" w:hAnsiTheme="minorHAnsi" w:cs="Arial"/>
          <w:sz w:val="24"/>
          <w:szCs w:val="24"/>
        </w:rPr>
        <w:t xml:space="preserve"> </w:t>
      </w:r>
      <w:r w:rsidR="00C45D0C" w:rsidRPr="0055336B">
        <w:rPr>
          <w:rFonts w:asciiTheme="minorHAnsi" w:hAnsiTheme="minorHAnsi" w:cs="Arial"/>
          <w:sz w:val="24"/>
          <w:szCs w:val="24"/>
        </w:rPr>
        <w:t xml:space="preserve">food </w:t>
      </w:r>
      <w:r w:rsidR="00266B3B">
        <w:rPr>
          <w:rFonts w:asciiTheme="minorHAnsi" w:hAnsiTheme="minorHAnsi" w:cs="Arial"/>
          <w:sz w:val="24"/>
          <w:szCs w:val="24"/>
        </w:rPr>
        <w:t>(1.</w:t>
      </w:r>
      <w:r w:rsidR="0029319C">
        <w:rPr>
          <w:rFonts w:asciiTheme="minorHAnsi" w:hAnsiTheme="minorHAnsi" w:cs="Arial"/>
          <w:sz w:val="24"/>
          <w:szCs w:val="24"/>
        </w:rPr>
        <w:t>20</w:t>
      </w:r>
      <w:r w:rsidR="00C45D0C" w:rsidRPr="0055336B">
        <w:rPr>
          <w:rFonts w:asciiTheme="minorHAnsi" w:hAnsiTheme="minorHAnsi" w:cs="Arial"/>
          <w:sz w:val="24"/>
          <w:szCs w:val="24"/>
        </w:rPr>
        <w:t>%</w:t>
      </w:r>
      <w:r w:rsidR="00C45D0C">
        <w:rPr>
          <w:rFonts w:asciiTheme="minorHAnsi" w:hAnsiTheme="minorHAnsi" w:cs="Arial"/>
          <w:sz w:val="24"/>
          <w:szCs w:val="24"/>
        </w:rPr>
        <w:t>).</w:t>
      </w:r>
      <w:r w:rsidR="00257EEF">
        <w:rPr>
          <w:rFonts w:asciiTheme="minorHAnsi" w:hAnsiTheme="minorHAnsi" w:cs="Arial"/>
          <w:sz w:val="24"/>
          <w:szCs w:val="24"/>
        </w:rPr>
        <w:t xml:space="preserve">The </w:t>
      </w:r>
      <w:r w:rsidR="0029319C">
        <w:rPr>
          <w:rFonts w:asciiTheme="minorHAnsi" w:hAnsiTheme="minorHAnsi" w:cs="Arial"/>
          <w:sz w:val="24"/>
          <w:szCs w:val="24"/>
        </w:rPr>
        <w:t>non-</w:t>
      </w:r>
      <w:r w:rsidR="00257EEF">
        <w:rPr>
          <w:rFonts w:asciiTheme="minorHAnsi" w:hAnsiTheme="minorHAnsi" w:cs="Arial"/>
          <w:sz w:val="24"/>
          <w:szCs w:val="24"/>
        </w:rPr>
        <w:t>food Index</w:t>
      </w:r>
      <w:r w:rsidR="0029319C">
        <w:rPr>
          <w:rFonts w:asciiTheme="minorHAnsi" w:hAnsiTheme="minorHAnsi" w:cs="Arial"/>
          <w:sz w:val="24"/>
          <w:szCs w:val="24"/>
        </w:rPr>
        <w:t xml:space="preserve"> the </w:t>
      </w:r>
      <w:r w:rsidR="00257EEF">
        <w:rPr>
          <w:rFonts w:asciiTheme="minorHAnsi" w:hAnsiTheme="minorHAnsi" w:cs="Arial"/>
          <w:sz w:val="24"/>
          <w:szCs w:val="24"/>
        </w:rPr>
        <w:t>rise</w:t>
      </w:r>
      <w:r w:rsidR="0029319C">
        <w:rPr>
          <w:rFonts w:asciiTheme="minorHAnsi" w:hAnsiTheme="minorHAnsi" w:cs="Arial"/>
          <w:sz w:val="24"/>
          <w:szCs w:val="24"/>
        </w:rPr>
        <w:t xml:space="preserve"> is due to</w:t>
      </w:r>
      <w:r w:rsidR="008426D1">
        <w:rPr>
          <w:rFonts w:asciiTheme="minorHAnsi" w:hAnsiTheme="minorHAnsi" w:cs="Arial"/>
          <w:sz w:val="24"/>
          <w:szCs w:val="24"/>
        </w:rPr>
        <w:t>:</w:t>
      </w:r>
      <w:r w:rsidR="0029319C">
        <w:rPr>
          <w:rFonts w:asciiTheme="minorHAnsi" w:hAnsiTheme="minorHAnsi" w:cs="Arial"/>
          <w:sz w:val="24"/>
          <w:szCs w:val="24"/>
        </w:rPr>
        <w:t xml:space="preserve"> clothing 6.60%; wood products 5.73%; fuel for industrial products 3.01% and furniture 1.73%</w:t>
      </w:r>
      <w:r w:rsidR="00F3766E">
        <w:rPr>
          <w:rFonts w:asciiTheme="minorHAnsi" w:hAnsiTheme="minorHAnsi" w:cs="Arial"/>
          <w:sz w:val="24"/>
          <w:szCs w:val="24"/>
        </w:rPr>
        <w:t>.</w:t>
      </w:r>
      <w:r w:rsidR="00FC140D" w:rsidRPr="0055336B">
        <w:rPr>
          <w:rFonts w:asciiTheme="minorHAnsi" w:hAnsiTheme="minorHAnsi" w:cs="Arial"/>
          <w:sz w:val="24"/>
          <w:szCs w:val="24"/>
        </w:rPr>
        <w:t xml:space="preserve"> For the </w:t>
      </w:r>
      <w:r w:rsidR="000B6EA5">
        <w:rPr>
          <w:rFonts w:asciiTheme="minorHAnsi" w:hAnsiTheme="minorHAnsi" w:cs="Arial"/>
          <w:sz w:val="24"/>
          <w:szCs w:val="24"/>
        </w:rPr>
        <w:t>drinks; the increase is due to price rise in soft drinks and mineral water</w:t>
      </w:r>
      <w:r w:rsidR="005A2392">
        <w:rPr>
          <w:rFonts w:asciiTheme="minorHAnsi" w:hAnsiTheme="minorHAnsi" w:cs="Arial"/>
          <w:sz w:val="24"/>
          <w:szCs w:val="24"/>
        </w:rPr>
        <w:t xml:space="preserve"> 3.25%.</w:t>
      </w:r>
      <w:r w:rsidR="000C30AD" w:rsidRPr="0055336B">
        <w:rPr>
          <w:rFonts w:asciiTheme="minorHAnsi" w:hAnsiTheme="minorHAnsi" w:cs="Arial"/>
          <w:sz w:val="24"/>
          <w:szCs w:val="24"/>
        </w:rPr>
        <w:t xml:space="preserve"> </w:t>
      </w:r>
      <w:r w:rsidR="005A2392">
        <w:rPr>
          <w:rFonts w:asciiTheme="minorHAnsi" w:hAnsiTheme="minorHAnsi" w:cs="Arial"/>
          <w:sz w:val="24"/>
          <w:szCs w:val="24"/>
        </w:rPr>
        <w:t>At the quarrying of stone and sand it is only stones that increase 2.81%</w:t>
      </w:r>
      <w:r w:rsidR="00D578A0">
        <w:rPr>
          <w:rFonts w:asciiTheme="minorHAnsi" w:hAnsiTheme="minorHAnsi" w:cs="Arial"/>
          <w:sz w:val="24"/>
          <w:szCs w:val="24"/>
        </w:rPr>
        <w:t xml:space="preserve">. </w:t>
      </w:r>
      <w:r w:rsidR="006F785E">
        <w:rPr>
          <w:rFonts w:asciiTheme="minorHAnsi" w:hAnsiTheme="minorHAnsi" w:cs="Arial"/>
          <w:sz w:val="24"/>
          <w:szCs w:val="24"/>
        </w:rPr>
        <w:t>I</w:t>
      </w:r>
      <w:r w:rsidR="000C30AD" w:rsidRPr="0055336B">
        <w:rPr>
          <w:rFonts w:asciiTheme="minorHAnsi" w:hAnsiTheme="minorHAnsi" w:cs="Arial"/>
          <w:sz w:val="24"/>
          <w:szCs w:val="24"/>
        </w:rPr>
        <w:t>n the area of</w:t>
      </w:r>
      <w:r w:rsidR="006F785E">
        <w:rPr>
          <w:rFonts w:asciiTheme="minorHAnsi" w:hAnsiTheme="minorHAnsi" w:cs="Arial"/>
          <w:sz w:val="24"/>
          <w:szCs w:val="24"/>
        </w:rPr>
        <w:t xml:space="preserve"> </w:t>
      </w:r>
      <w:r w:rsidR="000B6EA5">
        <w:rPr>
          <w:rFonts w:asciiTheme="minorHAnsi" w:hAnsiTheme="minorHAnsi" w:cs="Arial"/>
          <w:sz w:val="24"/>
          <w:szCs w:val="24"/>
        </w:rPr>
        <w:t xml:space="preserve">food </w:t>
      </w:r>
      <w:r w:rsidR="0055336B" w:rsidRPr="0055336B">
        <w:rPr>
          <w:rFonts w:asciiTheme="minorHAnsi" w:hAnsiTheme="minorHAnsi" w:cs="Arial"/>
          <w:sz w:val="24"/>
          <w:szCs w:val="24"/>
        </w:rPr>
        <w:t>that increase</w:t>
      </w:r>
      <w:r w:rsidR="00D50DC2">
        <w:rPr>
          <w:rFonts w:asciiTheme="minorHAnsi" w:hAnsiTheme="minorHAnsi" w:cs="Arial"/>
          <w:sz w:val="24"/>
          <w:szCs w:val="24"/>
        </w:rPr>
        <w:t>d</w:t>
      </w:r>
      <w:r w:rsidR="009B1CA5">
        <w:rPr>
          <w:rFonts w:asciiTheme="minorHAnsi" w:hAnsiTheme="minorHAnsi" w:cs="Arial"/>
          <w:sz w:val="24"/>
          <w:szCs w:val="24"/>
        </w:rPr>
        <w:t xml:space="preserve"> were processed and preserved fish 5.48%; prepared animal feed 1.52% and bakery products -1.69%</w:t>
      </w:r>
      <w:r w:rsidR="007A343A">
        <w:rPr>
          <w:rFonts w:asciiTheme="minorHAnsi" w:hAnsiTheme="minorHAnsi" w:cs="Arial"/>
          <w:sz w:val="24"/>
          <w:szCs w:val="24"/>
        </w:rPr>
        <w:t xml:space="preserve"> (1.04</w:t>
      </w:r>
      <w:r w:rsidR="0055336B" w:rsidRPr="0055336B">
        <w:rPr>
          <w:rFonts w:asciiTheme="minorHAnsi" w:hAnsiTheme="minorHAnsi" w:cs="Arial"/>
          <w:sz w:val="24"/>
          <w:szCs w:val="24"/>
        </w:rPr>
        <w:t>%)</w:t>
      </w:r>
      <w:r w:rsidR="00C74524">
        <w:rPr>
          <w:rFonts w:asciiTheme="minorHAnsi" w:hAnsiTheme="minorHAnsi" w:cs="Arial"/>
          <w:sz w:val="24"/>
          <w:szCs w:val="24"/>
        </w:rPr>
        <w:t xml:space="preserve"> during the quarter</w:t>
      </w:r>
    </w:p>
    <w:p w:rsidR="000C30AD" w:rsidRPr="0055336B" w:rsidRDefault="000C30AD" w:rsidP="000C30AD">
      <w:pPr>
        <w:rPr>
          <w:rFonts w:asciiTheme="minorHAnsi" w:hAnsiTheme="minorHAnsi" w:cs="Arial"/>
          <w:sz w:val="24"/>
          <w:szCs w:val="24"/>
        </w:rPr>
      </w:pPr>
    </w:p>
    <w:p w:rsidR="000C30AD" w:rsidRDefault="000C30AD" w:rsidP="000C30AD">
      <w:pPr>
        <w:rPr>
          <w:rFonts w:asciiTheme="minorHAnsi" w:hAnsiTheme="minorHAnsi" w:cs="Arial"/>
          <w:sz w:val="24"/>
          <w:szCs w:val="24"/>
        </w:rPr>
      </w:pPr>
    </w:p>
    <w:p w:rsidR="00C74524" w:rsidRDefault="00C74524" w:rsidP="00C74524">
      <w:pPr>
        <w:pStyle w:val="Caption"/>
        <w:keepNext/>
      </w:pPr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 xml:space="preserve"> Quarterly Inflation</w:t>
      </w:r>
    </w:p>
    <w:tbl>
      <w:tblPr>
        <w:tblStyle w:val="TableGrid"/>
        <w:tblW w:w="0" w:type="auto"/>
        <w:tblLook w:val="04A0"/>
      </w:tblPr>
      <w:tblGrid>
        <w:gridCol w:w="1915"/>
        <w:gridCol w:w="1915"/>
        <w:gridCol w:w="1915"/>
        <w:gridCol w:w="1915"/>
        <w:gridCol w:w="1916"/>
      </w:tblGrid>
      <w:tr w:rsidR="00F94691" w:rsidTr="00F94691">
        <w:tc>
          <w:tcPr>
            <w:tcW w:w="1915" w:type="dxa"/>
          </w:tcPr>
          <w:p w:rsidR="00F94691" w:rsidRDefault="00F94691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Year</w:t>
            </w:r>
          </w:p>
        </w:tc>
        <w:tc>
          <w:tcPr>
            <w:tcW w:w="1915" w:type="dxa"/>
          </w:tcPr>
          <w:p w:rsidR="00F94691" w:rsidRDefault="00B81BE2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     </w:t>
            </w:r>
            <w:r w:rsidR="00F94691">
              <w:rPr>
                <w:rFonts w:asciiTheme="minorHAnsi" w:hAnsiTheme="minorHAnsi" w:cs="Arial"/>
                <w:sz w:val="24"/>
                <w:szCs w:val="24"/>
              </w:rPr>
              <w:t>Quarter 1</w:t>
            </w:r>
          </w:p>
        </w:tc>
        <w:tc>
          <w:tcPr>
            <w:tcW w:w="1915" w:type="dxa"/>
          </w:tcPr>
          <w:p w:rsidR="00F94691" w:rsidRDefault="00B81BE2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      </w:t>
            </w:r>
            <w:r w:rsidR="00F94691">
              <w:rPr>
                <w:rFonts w:asciiTheme="minorHAnsi" w:hAnsiTheme="minorHAnsi" w:cs="Arial"/>
                <w:sz w:val="24"/>
                <w:szCs w:val="24"/>
              </w:rPr>
              <w:t>Quarter 2</w:t>
            </w:r>
          </w:p>
        </w:tc>
        <w:tc>
          <w:tcPr>
            <w:tcW w:w="1915" w:type="dxa"/>
          </w:tcPr>
          <w:p w:rsidR="00F94691" w:rsidRDefault="00B81BE2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      </w:t>
            </w:r>
            <w:r w:rsidR="00F94691">
              <w:rPr>
                <w:rFonts w:asciiTheme="minorHAnsi" w:hAnsiTheme="minorHAnsi" w:cs="Arial"/>
                <w:sz w:val="24"/>
                <w:szCs w:val="24"/>
              </w:rPr>
              <w:t>Quarter 3</w:t>
            </w:r>
          </w:p>
        </w:tc>
        <w:tc>
          <w:tcPr>
            <w:tcW w:w="1916" w:type="dxa"/>
          </w:tcPr>
          <w:p w:rsidR="00F94691" w:rsidRDefault="00B81BE2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      </w:t>
            </w:r>
            <w:r w:rsidR="00F94691">
              <w:rPr>
                <w:rFonts w:asciiTheme="minorHAnsi" w:hAnsiTheme="minorHAnsi" w:cs="Arial"/>
                <w:sz w:val="24"/>
                <w:szCs w:val="24"/>
              </w:rPr>
              <w:t>Quarter 4</w:t>
            </w:r>
          </w:p>
        </w:tc>
      </w:tr>
      <w:tr w:rsidR="00886A56" w:rsidTr="0029319C">
        <w:tc>
          <w:tcPr>
            <w:tcW w:w="1915" w:type="dxa"/>
          </w:tcPr>
          <w:p w:rsidR="00886A56" w:rsidRDefault="00886A56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2017</w:t>
            </w:r>
          </w:p>
        </w:tc>
        <w:tc>
          <w:tcPr>
            <w:tcW w:w="1915" w:type="dxa"/>
          </w:tcPr>
          <w:p w:rsidR="00886A56" w:rsidRDefault="00886A56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915" w:type="dxa"/>
          </w:tcPr>
          <w:p w:rsidR="00886A56" w:rsidRDefault="00886A56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915" w:type="dxa"/>
            <w:vAlign w:val="bottom"/>
          </w:tcPr>
          <w:p w:rsidR="00886A56" w:rsidRDefault="00886A56" w:rsidP="00777DF9">
            <w:pPr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-1.49</w:t>
            </w:r>
          </w:p>
        </w:tc>
        <w:tc>
          <w:tcPr>
            <w:tcW w:w="1916" w:type="dxa"/>
            <w:vAlign w:val="bottom"/>
          </w:tcPr>
          <w:p w:rsidR="00886A56" w:rsidRDefault="00886A56" w:rsidP="00777DF9">
            <w:pPr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-1.18</w:t>
            </w:r>
          </w:p>
        </w:tc>
      </w:tr>
      <w:tr w:rsidR="00886A56" w:rsidTr="0029319C">
        <w:tc>
          <w:tcPr>
            <w:tcW w:w="1915" w:type="dxa"/>
          </w:tcPr>
          <w:p w:rsidR="00886A56" w:rsidRDefault="00886A56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2018</w:t>
            </w:r>
          </w:p>
        </w:tc>
        <w:tc>
          <w:tcPr>
            <w:tcW w:w="1915" w:type="dxa"/>
            <w:vAlign w:val="bottom"/>
          </w:tcPr>
          <w:p w:rsidR="00886A56" w:rsidRDefault="00886A56" w:rsidP="00777DF9">
            <w:pPr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0.51</w:t>
            </w:r>
          </w:p>
        </w:tc>
        <w:tc>
          <w:tcPr>
            <w:tcW w:w="1915" w:type="dxa"/>
            <w:vAlign w:val="bottom"/>
          </w:tcPr>
          <w:p w:rsidR="00886A56" w:rsidRDefault="00886A56" w:rsidP="00777DF9">
            <w:pPr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1.85</w:t>
            </w:r>
          </w:p>
        </w:tc>
        <w:tc>
          <w:tcPr>
            <w:tcW w:w="1915" w:type="dxa"/>
          </w:tcPr>
          <w:p w:rsidR="00886A56" w:rsidRPr="0060321A" w:rsidRDefault="0060321A" w:rsidP="00777DF9">
            <w:pPr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3.14</w:t>
            </w:r>
          </w:p>
        </w:tc>
        <w:tc>
          <w:tcPr>
            <w:tcW w:w="1916" w:type="dxa"/>
          </w:tcPr>
          <w:p w:rsidR="00886A56" w:rsidRDefault="00886A56" w:rsidP="00777DF9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</w:tbl>
    <w:p w:rsidR="000C30AD" w:rsidRPr="000C30AD" w:rsidRDefault="000C30AD" w:rsidP="000C30AD">
      <w:pPr>
        <w:rPr>
          <w:rFonts w:asciiTheme="minorHAnsi" w:hAnsiTheme="minorHAnsi" w:cs="Arial"/>
          <w:sz w:val="24"/>
          <w:szCs w:val="24"/>
        </w:rPr>
      </w:pPr>
    </w:p>
    <w:p w:rsidR="00FC140D" w:rsidRDefault="004945B3" w:rsidP="00FC140D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 </w:t>
      </w:r>
      <w:r w:rsidR="009D11EC">
        <w:rPr>
          <w:rFonts w:asciiTheme="minorHAnsi" w:hAnsiTheme="minorHAnsi" w:cs="Arial"/>
          <w:sz w:val="24"/>
          <w:szCs w:val="24"/>
        </w:rPr>
        <w:t>Inflation measured on point to point bases registered 6.14% that is from Index of 100.00 in September 2017 to Index of 106.14 September 2018.</w:t>
      </w:r>
      <w:r w:rsidR="00CB126C">
        <w:rPr>
          <w:rFonts w:asciiTheme="minorHAnsi" w:hAnsiTheme="minorHAnsi" w:cs="Arial"/>
          <w:sz w:val="24"/>
          <w:szCs w:val="24"/>
        </w:rPr>
        <w:t xml:space="preserve"> This result is due to price increase in: non-Food </w:t>
      </w:r>
      <w:r w:rsidR="00861EDC">
        <w:rPr>
          <w:rFonts w:asciiTheme="minorHAnsi" w:hAnsiTheme="minorHAnsi" w:cs="Arial"/>
          <w:sz w:val="24"/>
          <w:szCs w:val="24"/>
        </w:rPr>
        <w:t>8.62%; quarrying stone and sand index 6.70%; all food index 3.66% and drinks index 2.60%</w:t>
      </w:r>
    </w:p>
    <w:p w:rsidR="00D578A0" w:rsidRDefault="00D578A0" w:rsidP="00FC140D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In the area of non-food price increase were registered in: clothing 13.37%; wood products 10.34%; furniture 5.63%; fuel for industrial products 3.99%; other non-metallic mineral products 2.96%; other fabricated metal products n. e. c. Index 2.69% and leader and related products index 2.57%</w:t>
      </w:r>
      <w:r w:rsidR="001972C4">
        <w:rPr>
          <w:rFonts w:asciiTheme="minorHAnsi" w:hAnsiTheme="minorHAnsi" w:cs="Arial"/>
          <w:sz w:val="24"/>
          <w:szCs w:val="24"/>
        </w:rPr>
        <w:t>.</w:t>
      </w:r>
    </w:p>
    <w:p w:rsidR="002B6C61" w:rsidRDefault="002B6C61" w:rsidP="00FC140D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At the quarrying stones and sand index, it is only stones that increase by 9.56%</w:t>
      </w:r>
      <w:r w:rsidR="001972C4">
        <w:rPr>
          <w:rFonts w:asciiTheme="minorHAnsi" w:hAnsiTheme="minorHAnsi" w:cs="Arial"/>
          <w:sz w:val="24"/>
          <w:szCs w:val="24"/>
        </w:rPr>
        <w:t>.</w:t>
      </w:r>
    </w:p>
    <w:p w:rsidR="00070431" w:rsidRPr="00070431" w:rsidRDefault="001972C4" w:rsidP="00070431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In the area of all food index increase were in: </w:t>
      </w:r>
      <w:r w:rsidRPr="001972C4">
        <w:rPr>
          <w:rFonts w:asciiTheme="minorHAnsi" w:hAnsiTheme="minorHAnsi" w:cs="Arial"/>
          <w:sz w:val="24"/>
          <w:szCs w:val="24"/>
        </w:rPr>
        <w:t>Processed and preserved fish Index 14.79%</w:t>
      </w:r>
      <w:r>
        <w:rPr>
          <w:rFonts w:asciiTheme="minorHAnsi" w:hAnsiTheme="minorHAnsi" w:cs="Arial"/>
          <w:sz w:val="24"/>
          <w:szCs w:val="24"/>
        </w:rPr>
        <w:t>;</w:t>
      </w:r>
      <w:r w:rsidR="00070431">
        <w:rPr>
          <w:rFonts w:asciiTheme="minorHAnsi" w:hAnsiTheme="minorHAnsi" w:cs="Arial"/>
          <w:sz w:val="24"/>
          <w:szCs w:val="24"/>
        </w:rPr>
        <w:t xml:space="preserve"> </w:t>
      </w:r>
      <w:r w:rsidRPr="00070431">
        <w:rPr>
          <w:rFonts w:asciiTheme="minorHAnsi" w:hAnsiTheme="minorHAnsi" w:cs="Arial"/>
          <w:sz w:val="24"/>
          <w:szCs w:val="24"/>
        </w:rPr>
        <w:t xml:space="preserve">Nuts, vegetable, </w:t>
      </w:r>
      <w:r w:rsidR="00070431">
        <w:rPr>
          <w:rFonts w:asciiTheme="minorHAnsi" w:hAnsiTheme="minorHAnsi" w:cs="Arial"/>
          <w:sz w:val="24"/>
          <w:szCs w:val="24"/>
        </w:rPr>
        <w:t xml:space="preserve">animal oil and fats </w:t>
      </w:r>
      <w:r w:rsidRPr="00070431">
        <w:rPr>
          <w:rFonts w:asciiTheme="minorHAnsi" w:hAnsiTheme="minorHAnsi" w:cs="Arial"/>
          <w:sz w:val="24"/>
          <w:szCs w:val="24"/>
        </w:rPr>
        <w:t>Index</w:t>
      </w:r>
      <w:r w:rsidR="00070431">
        <w:rPr>
          <w:rFonts w:asciiTheme="minorHAnsi" w:hAnsiTheme="minorHAnsi" w:cs="Arial"/>
          <w:sz w:val="24"/>
          <w:szCs w:val="24"/>
        </w:rPr>
        <w:t xml:space="preserve"> </w:t>
      </w:r>
      <w:r w:rsidR="00070431" w:rsidRPr="00070431">
        <w:rPr>
          <w:rFonts w:asciiTheme="minorHAnsi" w:hAnsiTheme="minorHAnsi" w:cs="Arial"/>
          <w:sz w:val="24"/>
          <w:szCs w:val="24"/>
        </w:rPr>
        <w:t>8.35%</w:t>
      </w:r>
      <w:r w:rsidR="00070431">
        <w:rPr>
          <w:rFonts w:asciiTheme="minorHAnsi" w:hAnsiTheme="minorHAnsi" w:cs="Arial"/>
          <w:sz w:val="24"/>
          <w:szCs w:val="24"/>
        </w:rPr>
        <w:t xml:space="preserve">; other foods products </w:t>
      </w:r>
      <w:r w:rsidR="00070431" w:rsidRPr="00070431">
        <w:rPr>
          <w:rFonts w:asciiTheme="minorHAnsi" w:hAnsiTheme="minorHAnsi" w:cs="Arial"/>
          <w:sz w:val="24"/>
          <w:szCs w:val="24"/>
        </w:rPr>
        <w:t>n. e. c. Index 2.17% and Bakery Products Index -3.04%</w:t>
      </w:r>
    </w:p>
    <w:p w:rsidR="001972C4" w:rsidRPr="00070431" w:rsidRDefault="00070431" w:rsidP="001972C4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For the drinks index it </w:t>
      </w:r>
      <w:r w:rsidRPr="00070431">
        <w:rPr>
          <w:rFonts w:asciiTheme="minorHAnsi" w:hAnsiTheme="minorHAnsi" w:cs="Arial"/>
          <w:sz w:val="24"/>
          <w:szCs w:val="24"/>
        </w:rPr>
        <w:t>is Soft drinks and mineral water Index</w:t>
      </w:r>
      <w:r>
        <w:rPr>
          <w:rFonts w:asciiTheme="minorHAnsi" w:hAnsiTheme="minorHAnsi" w:cs="Arial"/>
          <w:sz w:val="24"/>
          <w:szCs w:val="24"/>
        </w:rPr>
        <w:t xml:space="preserve"> that went up by</w:t>
      </w:r>
      <w:r w:rsidRPr="00070431">
        <w:rPr>
          <w:rFonts w:asciiTheme="minorHAnsi" w:hAnsiTheme="minorHAnsi" w:cs="Arial"/>
          <w:sz w:val="24"/>
          <w:szCs w:val="24"/>
        </w:rPr>
        <w:t xml:space="preserve"> 2.65%</w:t>
      </w:r>
    </w:p>
    <w:p w:rsidR="001972C4" w:rsidRPr="00070431" w:rsidRDefault="001972C4" w:rsidP="001972C4">
      <w:pPr>
        <w:rPr>
          <w:rFonts w:asciiTheme="minorHAnsi" w:hAnsiTheme="minorHAnsi" w:cs="Arial"/>
          <w:sz w:val="24"/>
          <w:szCs w:val="24"/>
        </w:rPr>
      </w:pPr>
    </w:p>
    <w:p w:rsidR="001972C4" w:rsidRPr="00070431" w:rsidRDefault="00FA3A6C" w:rsidP="00FC140D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Using 12 Months-moving-average mea</w:t>
      </w:r>
      <w:r w:rsidR="002F288E">
        <w:rPr>
          <w:rFonts w:asciiTheme="minorHAnsi" w:hAnsiTheme="minorHAnsi" w:cs="Arial"/>
          <w:sz w:val="24"/>
          <w:szCs w:val="24"/>
        </w:rPr>
        <w:t>sure, the inflation rate is 9.19</w:t>
      </w:r>
      <w:r>
        <w:rPr>
          <w:rFonts w:asciiTheme="minorHAnsi" w:hAnsiTheme="minorHAnsi" w:cs="Arial"/>
          <w:sz w:val="24"/>
          <w:szCs w:val="24"/>
        </w:rPr>
        <w:t>% for September 2018</w:t>
      </w:r>
    </w:p>
    <w:tbl>
      <w:tblPr>
        <w:tblpPr w:leftFromText="180" w:rightFromText="180" w:vertAnchor="text" w:horzAnchor="page" w:tblpX="1426" w:tblpY="153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Look w:val="01E0"/>
      </w:tblPr>
      <w:tblGrid>
        <w:gridCol w:w="9630"/>
      </w:tblGrid>
      <w:tr w:rsidR="00F94691" w:rsidRPr="00962296" w:rsidTr="0029319C">
        <w:trPr>
          <w:trHeight w:val="70"/>
        </w:trPr>
        <w:tc>
          <w:tcPr>
            <w:tcW w:w="9630" w:type="dxa"/>
            <w:shd w:val="clear" w:color="auto" w:fill="CCFFCC"/>
          </w:tcPr>
          <w:p w:rsidR="00F94691" w:rsidRPr="00606CBF" w:rsidRDefault="00F94691" w:rsidP="0029319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606CBF">
              <w:rPr>
                <w:rFonts w:cs="Arial"/>
                <w:b/>
                <w:sz w:val="18"/>
                <w:szCs w:val="18"/>
              </w:rPr>
              <w:t>CONTACTS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The Gambia Bureau of Statistics (GBOS)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Kanifing Institutional Layout  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P.O.Box 3504 Serekunda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Tel. (220) 439 4529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Fax. (220) 437 7848 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 Web site: </w:t>
            </w:r>
            <w:r w:rsidR="009D7D8F">
              <w:rPr>
                <w:rFonts w:cs="Arial"/>
                <w:sz w:val="18"/>
                <w:szCs w:val="18"/>
              </w:rPr>
              <w:t>www.data.gbos.gov.gm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Publication Director:  Mr. Nyakassi  M. B. Sanyang, Statistician- General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Publication Editor: Mr Ousman Dibba, Director Prices and Government Finance Statistics GBOS 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9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ousman_dibba@yahoo.co</w:t>
              </w:r>
            </w:hyperlink>
            <w:r w:rsidRPr="00606CBF">
              <w:rPr>
                <w:rFonts w:cs="Arial"/>
                <w:sz w:val="18"/>
                <w:szCs w:val="18"/>
              </w:rPr>
              <w:t>m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Statistician in charge of PPI: Mr. Ansu Kanyi, GBOS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0" w:history="1">
              <w:r w:rsidRPr="00480217">
                <w:rPr>
                  <w:rStyle w:val="Hyperlink"/>
                  <w:rFonts w:cs="Arial"/>
                  <w:sz w:val="18"/>
                  <w:szCs w:val="18"/>
                </w:rPr>
                <w:t>kanyi.ansu@gmail.com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:rsidR="00FC140D" w:rsidRPr="00FC140D" w:rsidRDefault="00FC140D" w:rsidP="0067591F">
      <w:pPr>
        <w:rPr>
          <w:rFonts w:asciiTheme="minorHAnsi" w:hAnsiTheme="minorHAnsi" w:cs="Arial"/>
          <w:sz w:val="24"/>
          <w:szCs w:val="24"/>
        </w:rPr>
      </w:pPr>
    </w:p>
    <w:sectPr w:rsidR="00FC140D" w:rsidRPr="00FC140D" w:rsidSect="00023D64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5EBE" w:rsidRDefault="009F5EBE" w:rsidP="005563BA">
      <w:r>
        <w:separator/>
      </w:r>
    </w:p>
  </w:endnote>
  <w:endnote w:type="continuationSeparator" w:id="1">
    <w:p w:rsidR="009F5EBE" w:rsidRDefault="009F5EBE" w:rsidP="00556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76400"/>
      <w:docPartObj>
        <w:docPartGallery w:val="Page Numbers (Bottom of Page)"/>
        <w:docPartUnique/>
      </w:docPartObj>
    </w:sdtPr>
    <w:sdtContent>
      <w:p w:rsidR="00CB126C" w:rsidRDefault="00CE449A">
        <w:pPr>
          <w:pStyle w:val="Footer"/>
        </w:pPr>
        <w:fldSimple w:instr=" PAGE   \* MERGEFORMAT ">
          <w:r w:rsidR="009F5EBE">
            <w:rPr>
              <w:noProof/>
            </w:rPr>
            <w:t>1</w:t>
          </w:r>
        </w:fldSimple>
      </w:p>
    </w:sdtContent>
  </w:sdt>
  <w:p w:rsidR="00CB126C" w:rsidRDefault="00CB126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5EBE" w:rsidRDefault="009F5EBE" w:rsidP="005563BA">
      <w:r>
        <w:separator/>
      </w:r>
    </w:p>
  </w:footnote>
  <w:footnote w:type="continuationSeparator" w:id="1">
    <w:p w:rsidR="009F5EBE" w:rsidRDefault="009F5EBE" w:rsidP="005563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4122F"/>
    <w:rsid w:val="0000116F"/>
    <w:rsid w:val="00015BB3"/>
    <w:rsid w:val="00023D64"/>
    <w:rsid w:val="00025774"/>
    <w:rsid w:val="000430F8"/>
    <w:rsid w:val="00043525"/>
    <w:rsid w:val="00045224"/>
    <w:rsid w:val="00070431"/>
    <w:rsid w:val="00076E61"/>
    <w:rsid w:val="00091288"/>
    <w:rsid w:val="000A158F"/>
    <w:rsid w:val="000A301E"/>
    <w:rsid w:val="000A55A0"/>
    <w:rsid w:val="000B6EA5"/>
    <w:rsid w:val="000C30AD"/>
    <w:rsid w:val="000D55C0"/>
    <w:rsid w:val="000D61F7"/>
    <w:rsid w:val="000E4E27"/>
    <w:rsid w:val="000F74C0"/>
    <w:rsid w:val="001159DD"/>
    <w:rsid w:val="00117DAC"/>
    <w:rsid w:val="00124A1C"/>
    <w:rsid w:val="00146FA8"/>
    <w:rsid w:val="0016451C"/>
    <w:rsid w:val="001709B8"/>
    <w:rsid w:val="0017373B"/>
    <w:rsid w:val="00186DAE"/>
    <w:rsid w:val="001967C7"/>
    <w:rsid w:val="001972C4"/>
    <w:rsid w:val="001A0C31"/>
    <w:rsid w:val="001A3042"/>
    <w:rsid w:val="001A4150"/>
    <w:rsid w:val="001A4795"/>
    <w:rsid w:val="001B4080"/>
    <w:rsid w:val="001B6E8D"/>
    <w:rsid w:val="001D0FA0"/>
    <w:rsid w:val="0021023E"/>
    <w:rsid w:val="00215935"/>
    <w:rsid w:val="0023477B"/>
    <w:rsid w:val="00255995"/>
    <w:rsid w:val="00257EEF"/>
    <w:rsid w:val="00260A5F"/>
    <w:rsid w:val="00266B3B"/>
    <w:rsid w:val="00270035"/>
    <w:rsid w:val="00284926"/>
    <w:rsid w:val="00286CF6"/>
    <w:rsid w:val="0029319C"/>
    <w:rsid w:val="0029574D"/>
    <w:rsid w:val="002A5A00"/>
    <w:rsid w:val="002B0ABD"/>
    <w:rsid w:val="002B6C61"/>
    <w:rsid w:val="002D0740"/>
    <w:rsid w:val="002E249E"/>
    <w:rsid w:val="002E531E"/>
    <w:rsid w:val="002F288E"/>
    <w:rsid w:val="00302AA1"/>
    <w:rsid w:val="003061C0"/>
    <w:rsid w:val="00311450"/>
    <w:rsid w:val="00316BE5"/>
    <w:rsid w:val="003238DC"/>
    <w:rsid w:val="00326E99"/>
    <w:rsid w:val="00327248"/>
    <w:rsid w:val="00335651"/>
    <w:rsid w:val="0033608C"/>
    <w:rsid w:val="00351CC6"/>
    <w:rsid w:val="00356EF5"/>
    <w:rsid w:val="00356F5E"/>
    <w:rsid w:val="003577DC"/>
    <w:rsid w:val="00363009"/>
    <w:rsid w:val="0036790A"/>
    <w:rsid w:val="003715A8"/>
    <w:rsid w:val="00375F34"/>
    <w:rsid w:val="00395399"/>
    <w:rsid w:val="003B151C"/>
    <w:rsid w:val="003B7F50"/>
    <w:rsid w:val="003D0A30"/>
    <w:rsid w:val="003D2962"/>
    <w:rsid w:val="003E2BFB"/>
    <w:rsid w:val="003E3041"/>
    <w:rsid w:val="00400ED7"/>
    <w:rsid w:val="00412E8D"/>
    <w:rsid w:val="0041639C"/>
    <w:rsid w:val="0042583B"/>
    <w:rsid w:val="00443D3E"/>
    <w:rsid w:val="00451F5F"/>
    <w:rsid w:val="004613D9"/>
    <w:rsid w:val="00483F3F"/>
    <w:rsid w:val="004945B3"/>
    <w:rsid w:val="004A04D2"/>
    <w:rsid w:val="004A3DBE"/>
    <w:rsid w:val="004A55C4"/>
    <w:rsid w:val="004B314E"/>
    <w:rsid w:val="004D1BAD"/>
    <w:rsid w:val="004F552D"/>
    <w:rsid w:val="00512737"/>
    <w:rsid w:val="00517F0E"/>
    <w:rsid w:val="00520CE5"/>
    <w:rsid w:val="005344B1"/>
    <w:rsid w:val="00537C8F"/>
    <w:rsid w:val="005437AC"/>
    <w:rsid w:val="00544207"/>
    <w:rsid w:val="00550252"/>
    <w:rsid w:val="0055336B"/>
    <w:rsid w:val="00553416"/>
    <w:rsid w:val="00555730"/>
    <w:rsid w:val="005563BA"/>
    <w:rsid w:val="00573990"/>
    <w:rsid w:val="00593FE0"/>
    <w:rsid w:val="0059785B"/>
    <w:rsid w:val="005A2392"/>
    <w:rsid w:val="005A3F72"/>
    <w:rsid w:val="005D3083"/>
    <w:rsid w:val="00601251"/>
    <w:rsid w:val="0060321A"/>
    <w:rsid w:val="00640CBB"/>
    <w:rsid w:val="0067591F"/>
    <w:rsid w:val="00694E42"/>
    <w:rsid w:val="006A16B7"/>
    <w:rsid w:val="006A2CB6"/>
    <w:rsid w:val="006B090E"/>
    <w:rsid w:val="006C327F"/>
    <w:rsid w:val="006C50A4"/>
    <w:rsid w:val="006D0C8A"/>
    <w:rsid w:val="006F43AA"/>
    <w:rsid w:val="006F5A61"/>
    <w:rsid w:val="006F785E"/>
    <w:rsid w:val="00710AFD"/>
    <w:rsid w:val="00712316"/>
    <w:rsid w:val="0071448E"/>
    <w:rsid w:val="0073058D"/>
    <w:rsid w:val="00730B21"/>
    <w:rsid w:val="00737154"/>
    <w:rsid w:val="00745EDB"/>
    <w:rsid w:val="007501E8"/>
    <w:rsid w:val="007607D2"/>
    <w:rsid w:val="007632F0"/>
    <w:rsid w:val="00767A27"/>
    <w:rsid w:val="0077518E"/>
    <w:rsid w:val="0077718D"/>
    <w:rsid w:val="00777DF9"/>
    <w:rsid w:val="00791E3D"/>
    <w:rsid w:val="00794B10"/>
    <w:rsid w:val="007A343A"/>
    <w:rsid w:val="007A7541"/>
    <w:rsid w:val="007B5BBE"/>
    <w:rsid w:val="007C713E"/>
    <w:rsid w:val="007E4649"/>
    <w:rsid w:val="008027DC"/>
    <w:rsid w:val="0081688E"/>
    <w:rsid w:val="00833A1F"/>
    <w:rsid w:val="008426D1"/>
    <w:rsid w:val="008440B6"/>
    <w:rsid w:val="00861EDC"/>
    <w:rsid w:val="00870804"/>
    <w:rsid w:val="00886A56"/>
    <w:rsid w:val="00887746"/>
    <w:rsid w:val="008B7BBC"/>
    <w:rsid w:val="008C2FA7"/>
    <w:rsid w:val="008C40A0"/>
    <w:rsid w:val="008F0B0D"/>
    <w:rsid w:val="00904816"/>
    <w:rsid w:val="00920C46"/>
    <w:rsid w:val="00921452"/>
    <w:rsid w:val="0093326D"/>
    <w:rsid w:val="009373F5"/>
    <w:rsid w:val="00946F66"/>
    <w:rsid w:val="00953EEF"/>
    <w:rsid w:val="009839C8"/>
    <w:rsid w:val="00991F89"/>
    <w:rsid w:val="009A6C12"/>
    <w:rsid w:val="009B0423"/>
    <w:rsid w:val="009B0439"/>
    <w:rsid w:val="009B1CA5"/>
    <w:rsid w:val="009C3462"/>
    <w:rsid w:val="009C3497"/>
    <w:rsid w:val="009C4106"/>
    <w:rsid w:val="009C7F60"/>
    <w:rsid w:val="009D11EC"/>
    <w:rsid w:val="009D7D8F"/>
    <w:rsid w:val="009E63BB"/>
    <w:rsid w:val="009E6E4D"/>
    <w:rsid w:val="009E6E5A"/>
    <w:rsid w:val="009F5EBE"/>
    <w:rsid w:val="00A00966"/>
    <w:rsid w:val="00A039C4"/>
    <w:rsid w:val="00A04DE9"/>
    <w:rsid w:val="00A2674E"/>
    <w:rsid w:val="00A40A94"/>
    <w:rsid w:val="00A42B4B"/>
    <w:rsid w:val="00A612B6"/>
    <w:rsid w:val="00A63D00"/>
    <w:rsid w:val="00A826FD"/>
    <w:rsid w:val="00AB4445"/>
    <w:rsid w:val="00AB78A4"/>
    <w:rsid w:val="00AD375E"/>
    <w:rsid w:val="00AE237C"/>
    <w:rsid w:val="00AF6FE9"/>
    <w:rsid w:val="00B15351"/>
    <w:rsid w:val="00B269EE"/>
    <w:rsid w:val="00B4122F"/>
    <w:rsid w:val="00B56DD6"/>
    <w:rsid w:val="00B64A3C"/>
    <w:rsid w:val="00B65785"/>
    <w:rsid w:val="00B65E13"/>
    <w:rsid w:val="00B713BF"/>
    <w:rsid w:val="00B777A7"/>
    <w:rsid w:val="00B80098"/>
    <w:rsid w:val="00B81BE2"/>
    <w:rsid w:val="00B8508E"/>
    <w:rsid w:val="00B970CA"/>
    <w:rsid w:val="00BB03DA"/>
    <w:rsid w:val="00BB429C"/>
    <w:rsid w:val="00BC7AB3"/>
    <w:rsid w:val="00BC7D77"/>
    <w:rsid w:val="00BD1036"/>
    <w:rsid w:val="00BE0ADB"/>
    <w:rsid w:val="00BE1BAF"/>
    <w:rsid w:val="00BE1C2C"/>
    <w:rsid w:val="00BE2D5A"/>
    <w:rsid w:val="00BE462A"/>
    <w:rsid w:val="00BF2E75"/>
    <w:rsid w:val="00C01964"/>
    <w:rsid w:val="00C05A56"/>
    <w:rsid w:val="00C13E0F"/>
    <w:rsid w:val="00C1589F"/>
    <w:rsid w:val="00C268F6"/>
    <w:rsid w:val="00C34FC0"/>
    <w:rsid w:val="00C42174"/>
    <w:rsid w:val="00C45631"/>
    <w:rsid w:val="00C45D0C"/>
    <w:rsid w:val="00C74524"/>
    <w:rsid w:val="00C75646"/>
    <w:rsid w:val="00C75B45"/>
    <w:rsid w:val="00C75EF4"/>
    <w:rsid w:val="00C918B1"/>
    <w:rsid w:val="00C92A1D"/>
    <w:rsid w:val="00C9454D"/>
    <w:rsid w:val="00CA438F"/>
    <w:rsid w:val="00CA66FC"/>
    <w:rsid w:val="00CB126C"/>
    <w:rsid w:val="00CB2530"/>
    <w:rsid w:val="00CB46DF"/>
    <w:rsid w:val="00CB5147"/>
    <w:rsid w:val="00CB6FE7"/>
    <w:rsid w:val="00CC08C2"/>
    <w:rsid w:val="00CE449A"/>
    <w:rsid w:val="00CF167D"/>
    <w:rsid w:val="00CF4CEE"/>
    <w:rsid w:val="00D00B95"/>
    <w:rsid w:val="00D03C92"/>
    <w:rsid w:val="00D104D6"/>
    <w:rsid w:val="00D213EF"/>
    <w:rsid w:val="00D25532"/>
    <w:rsid w:val="00D277F2"/>
    <w:rsid w:val="00D33C0D"/>
    <w:rsid w:val="00D41C5E"/>
    <w:rsid w:val="00D44A74"/>
    <w:rsid w:val="00D5024E"/>
    <w:rsid w:val="00D50DC2"/>
    <w:rsid w:val="00D514E8"/>
    <w:rsid w:val="00D53D01"/>
    <w:rsid w:val="00D578A0"/>
    <w:rsid w:val="00D826A2"/>
    <w:rsid w:val="00D870AC"/>
    <w:rsid w:val="00D9137B"/>
    <w:rsid w:val="00DA7A8D"/>
    <w:rsid w:val="00DA7F86"/>
    <w:rsid w:val="00DB5F38"/>
    <w:rsid w:val="00DD2AD2"/>
    <w:rsid w:val="00DD5AE2"/>
    <w:rsid w:val="00DE1BA8"/>
    <w:rsid w:val="00DF202D"/>
    <w:rsid w:val="00E10F8C"/>
    <w:rsid w:val="00E36AC4"/>
    <w:rsid w:val="00E44D1C"/>
    <w:rsid w:val="00E65096"/>
    <w:rsid w:val="00E6619F"/>
    <w:rsid w:val="00E662E6"/>
    <w:rsid w:val="00E77BAA"/>
    <w:rsid w:val="00E803C4"/>
    <w:rsid w:val="00E8365D"/>
    <w:rsid w:val="00EA3BDB"/>
    <w:rsid w:val="00EB538A"/>
    <w:rsid w:val="00ED2F5C"/>
    <w:rsid w:val="00F034BC"/>
    <w:rsid w:val="00F0407E"/>
    <w:rsid w:val="00F049D3"/>
    <w:rsid w:val="00F204FE"/>
    <w:rsid w:val="00F2312A"/>
    <w:rsid w:val="00F31D2C"/>
    <w:rsid w:val="00F3766E"/>
    <w:rsid w:val="00F37DA9"/>
    <w:rsid w:val="00F446E4"/>
    <w:rsid w:val="00F72A4E"/>
    <w:rsid w:val="00F8182F"/>
    <w:rsid w:val="00F94691"/>
    <w:rsid w:val="00FA3A6C"/>
    <w:rsid w:val="00FB5F2A"/>
    <w:rsid w:val="00FB7414"/>
    <w:rsid w:val="00FB76DD"/>
    <w:rsid w:val="00FB7CB1"/>
    <w:rsid w:val="00FC140D"/>
    <w:rsid w:val="00FC7AB8"/>
    <w:rsid w:val="00FD2C54"/>
    <w:rsid w:val="00FD3BBB"/>
    <w:rsid w:val="00FE4703"/>
    <w:rsid w:val="00FE7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kanyi.ansu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usman_dibba@yahoo.c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3156F-E8A7-4626-B1EB-A2C905588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914</Words>
  <Characters>5214</Characters>
  <Application>Microsoft Office Word</Application>
  <DocSecurity>0</DocSecurity>
  <Lines>43</Lines>
  <Paragraphs>12</Paragraphs>
  <ScaleCrop>false</ScaleCrop>
  <Company/>
  <LinksUpToDate>false</LinksUpToDate>
  <CharactersWithSpaces>6116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Kanyi</dc:creator>
  <cp:lastModifiedBy>Kanyi</cp:lastModifiedBy>
  <cp:revision>5</cp:revision>
  <dcterms:created xsi:type="dcterms:W3CDTF">2018-10-16T12:38:00Z</dcterms:created>
  <dcterms:modified xsi:type="dcterms:W3CDTF">2018-10-16T13:28:00Z</dcterms:modified>
</cp:coreProperties>
</file>